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91" w:rsidRPr="00864CEC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506F91" w:rsidRPr="007820FF" w:rsidRDefault="00506F91" w:rsidP="00506F91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506F91" w:rsidRPr="00864CEC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506F91" w:rsidRPr="00544EAB" w:rsidRDefault="00506F91" w:rsidP="00506F91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06F91" w:rsidRPr="007941E2" w:rsidRDefault="00506F91" w:rsidP="00506F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F91" w:rsidRPr="007941E2" w:rsidRDefault="00506F91" w:rsidP="00506F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506F91" w:rsidRPr="007941E2" w:rsidRDefault="00506F91" w:rsidP="00506F91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506F91" w:rsidRPr="007941E2" w:rsidRDefault="00506F91" w:rsidP="00506F9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506F91" w:rsidRDefault="00506F91" w:rsidP="00506F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506F91" w:rsidRDefault="00506F91" w:rsidP="00506F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«ПРОФЕСІЙНА ЕТИКА БУХГАЛТЕРА»</w:t>
      </w:r>
    </w:p>
    <w:p w:rsidR="00506F91" w:rsidRDefault="00506F91" w:rsidP="00506F91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506F91" w:rsidRPr="000537DB" w:rsidRDefault="00506F91" w:rsidP="00506F91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вибіркова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506F91" w:rsidRPr="007C3E86" w:rsidRDefault="00506F91" w:rsidP="00506F91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506F91" w:rsidRPr="007C3E86" w:rsidRDefault="00506F91" w:rsidP="00506F91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506F91" w:rsidRPr="007C3E86" w:rsidRDefault="00506F91" w:rsidP="00506F91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506F91" w:rsidRPr="007C3E86" w:rsidRDefault="00506F91" w:rsidP="00506F91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6F91" w:rsidRPr="007C3E86" w:rsidRDefault="00506F91" w:rsidP="00506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доцент кафедри обліку, </w:t>
      </w:r>
    </w:p>
    <w:p w:rsidR="00506F91" w:rsidRPr="007C3E86" w:rsidRDefault="00506F91" w:rsidP="00506F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506F91" w:rsidRPr="007C3E86" w:rsidRDefault="00506F91" w:rsidP="00506F9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506F91" w:rsidRPr="003129DF" w:rsidRDefault="00506F91" w:rsidP="00506F9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6" w:history="1">
        <w:r w:rsidRPr="00EA272B">
          <w:rPr>
            <w:rStyle w:val="a3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(посилання на сторінку кафедри з інформацією про викладача (-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506F91" w:rsidRPr="00EA272B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06F91" w:rsidRPr="00EA272B" w:rsidRDefault="00506F91" w:rsidP="00506F91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506F91" w:rsidRPr="00796C18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506F91" w:rsidRPr="00EA272B" w:rsidRDefault="00506F91" w:rsidP="00506F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506F91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 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67552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консультації:</w:t>
      </w:r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</w:t>
      </w:r>
    </w:p>
    <w:p w:rsidR="00506F91" w:rsidRPr="00ED3817" w:rsidRDefault="00506F91" w:rsidP="00506F91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506F91" w:rsidRDefault="00506F91">
      <w:pPr>
        <w:rPr>
          <w:rFonts w:ascii="Times New Roman" w:hAnsi="Times New Roman" w:cs="Times New Roman"/>
          <w:bCs/>
          <w:sz w:val="24"/>
          <w:szCs w:val="24"/>
        </w:rPr>
      </w:pPr>
    </w:p>
    <w:p w:rsidR="00506F91" w:rsidRPr="00506F91" w:rsidRDefault="00506F91" w:rsidP="005349DF">
      <w:pPr>
        <w:pStyle w:val="a4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506F9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Анотація дисципліни (призначення навчальної дисципліни).</w:t>
      </w:r>
    </w:p>
    <w:p w:rsidR="00DA16E2" w:rsidRDefault="00506F91" w:rsidP="005349DF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Призначення навчальної дисципліни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Професійна етика бухгалтера</w:t>
      </w: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полягає в оволодінні 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>здобувач</w:t>
      </w:r>
      <w:r w:rsidR="00DA16E2">
        <w:rPr>
          <w:rFonts w:ascii="Times New Roman" w:hAnsi="Times New Roman" w:cs="Times New Roman"/>
          <w:bCs/>
          <w:sz w:val="24"/>
          <w:szCs w:val="24"/>
        </w:rPr>
        <w:t>ами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 xml:space="preserve"> вищої освіти </w:t>
      </w:r>
      <w:r w:rsidR="00DA16E2">
        <w:rPr>
          <w:rFonts w:ascii="Times New Roman" w:hAnsi="Times New Roman" w:cs="Times New Roman"/>
          <w:bCs/>
          <w:sz w:val="24"/>
          <w:szCs w:val="24"/>
        </w:rPr>
        <w:t>першого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A16E2">
        <w:rPr>
          <w:rFonts w:ascii="Times New Roman" w:hAnsi="Times New Roman" w:cs="Times New Roman"/>
          <w:bCs/>
          <w:sz w:val="24"/>
          <w:szCs w:val="24"/>
        </w:rPr>
        <w:t>бакалаврського</w:t>
      </w:r>
      <w:r w:rsidR="00DA16E2" w:rsidRPr="00BE4F53">
        <w:rPr>
          <w:rFonts w:ascii="Times New Roman" w:hAnsi="Times New Roman" w:cs="Times New Roman"/>
          <w:bCs/>
          <w:sz w:val="24"/>
          <w:szCs w:val="24"/>
        </w:rPr>
        <w:t>) рівня</w:t>
      </w:r>
      <w:r w:rsidR="00DA16E2" w:rsidRPr="00506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>теоретичними знаннями, методологічними прийомами, уміннями та практичними навичками у галузі етики професійного бухгалтера, набутт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знань щодо основоположних принципів, правил згідно Міжнародного кодексу етики професійних бухгалтерів (включаючи Міжнародні стандарти незалежності); набутт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концептуальних основ для ідентифікації, оцінювання та реагування на загрози дотриманню основоположних принципів; формуванн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знань і навичок щодо функції бухгалтера в суспільстві; вмінн</w:t>
      </w:r>
      <w:r w:rsidR="00DA16E2">
        <w:rPr>
          <w:rFonts w:ascii="Times New Roman" w:hAnsi="Times New Roman" w:cs="Times New Roman"/>
          <w:bCs/>
          <w:sz w:val="24"/>
          <w:szCs w:val="24"/>
        </w:rPr>
        <w:t>і</w:t>
      </w:r>
      <w:r w:rsidR="00BE4F53" w:rsidRPr="00506F91">
        <w:rPr>
          <w:rFonts w:ascii="Times New Roman" w:hAnsi="Times New Roman" w:cs="Times New Roman"/>
          <w:bCs/>
          <w:sz w:val="24"/>
          <w:szCs w:val="24"/>
        </w:rPr>
        <w:t xml:space="preserve"> роз'яснити та аргументувати основні вимоги до сучасних професійних бухгалтерів та використовувати отриману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565159" w:rsidRDefault="00DA16E2" w:rsidP="005349DF">
      <w:pPr>
        <w:pStyle w:val="a4"/>
        <w:numPr>
          <w:ilvl w:val="0"/>
          <w:numId w:val="1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5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Мета навчальної дисципліни:</w:t>
      </w:r>
      <w:r w:rsidRPr="0056515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AB4141">
        <w:rPr>
          <w:rFonts w:ascii="Times New Roman" w:hAnsi="Times New Roman" w:cs="Times New Roman"/>
          <w:bCs/>
          <w:sz w:val="24"/>
          <w:szCs w:val="24"/>
        </w:rPr>
        <w:t>поглибле</w:t>
      </w:r>
      <w:r w:rsidR="00806761" w:rsidRPr="00565159">
        <w:rPr>
          <w:rFonts w:ascii="Times New Roman" w:hAnsi="Times New Roman" w:cs="Times New Roman"/>
          <w:bCs/>
          <w:sz w:val="24"/>
          <w:szCs w:val="24"/>
        </w:rPr>
        <w:t xml:space="preserve">ння </w:t>
      </w:r>
      <w:r w:rsidR="00BE4F53" w:rsidRPr="00565159">
        <w:rPr>
          <w:rFonts w:ascii="Times New Roman" w:hAnsi="Times New Roman" w:cs="Times New Roman"/>
          <w:bCs/>
          <w:sz w:val="24"/>
          <w:szCs w:val="24"/>
        </w:rPr>
        <w:t xml:space="preserve"> наукового світогляду та спеціальних знань в сфері вивчення принципів та міжнародних норм етики професійних бухгалтерів, що відображають визнання професією своєї відповідальності за захист суспільних інтересів, а також набуття навичок застосування цих </w:t>
      </w:r>
      <w:proofErr w:type="spellStart"/>
      <w:r w:rsidR="00BE4F53" w:rsidRPr="00565159">
        <w:rPr>
          <w:rFonts w:ascii="Times New Roman" w:hAnsi="Times New Roman" w:cs="Times New Roman"/>
          <w:bCs/>
          <w:sz w:val="24"/>
          <w:szCs w:val="24"/>
        </w:rPr>
        <w:t>компетентностей</w:t>
      </w:r>
      <w:proofErr w:type="spellEnd"/>
      <w:r w:rsidR="00BE4F53" w:rsidRPr="00565159">
        <w:rPr>
          <w:rFonts w:ascii="Times New Roman" w:hAnsi="Times New Roman" w:cs="Times New Roman"/>
          <w:bCs/>
          <w:sz w:val="24"/>
          <w:szCs w:val="24"/>
        </w:rPr>
        <w:t xml:space="preserve"> у професійній діяльності.</w:t>
      </w:r>
    </w:p>
    <w:p w:rsidR="00565159" w:rsidRPr="00B55007" w:rsidRDefault="00565159" w:rsidP="005349D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3. </w:t>
      </w:r>
      <w:proofErr w:type="spellStart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Pr="00B5500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Pr="00B55007">
        <w:rPr>
          <w:rFonts w:ascii="Times New Roman" w:hAnsi="Times New Roman" w:cs="Times New Roman"/>
          <w:sz w:val="24"/>
          <w:szCs w:val="24"/>
        </w:rPr>
        <w:t>Вивчення навчальної дисципліни «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Професійна етика бухгалтера</w:t>
      </w:r>
      <w:r w:rsidRPr="00B55007">
        <w:rPr>
          <w:rFonts w:ascii="Times New Roman" w:hAnsi="Times New Roman" w:cs="Times New Roman"/>
          <w:sz w:val="24"/>
          <w:szCs w:val="24"/>
        </w:rPr>
        <w:t>» базується на засвоєнні знань з навчальн</w:t>
      </w:r>
      <w:r w:rsidR="0076178D">
        <w:rPr>
          <w:rFonts w:ascii="Times New Roman" w:hAnsi="Times New Roman" w:cs="Times New Roman"/>
          <w:sz w:val="24"/>
          <w:szCs w:val="24"/>
        </w:rPr>
        <w:t>их</w:t>
      </w:r>
      <w:r w:rsidRPr="00B55007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76178D">
        <w:rPr>
          <w:rFonts w:ascii="Times New Roman" w:hAnsi="Times New Roman" w:cs="Times New Roman"/>
          <w:sz w:val="24"/>
          <w:szCs w:val="24"/>
        </w:rPr>
        <w:t>:</w:t>
      </w:r>
      <w:r w:rsidRPr="00B55007">
        <w:rPr>
          <w:rFonts w:ascii="Times New Roman" w:hAnsi="Times New Roman" w:cs="Times New Roman"/>
          <w:sz w:val="24"/>
          <w:szCs w:val="24"/>
        </w:rPr>
        <w:t xml:space="preserve"> «Вступ у спеціальність»</w:t>
      </w:r>
      <w:r w:rsidR="0076178D">
        <w:rPr>
          <w:rFonts w:ascii="Times New Roman" w:hAnsi="Times New Roman" w:cs="Times New Roman"/>
          <w:sz w:val="24"/>
          <w:szCs w:val="24"/>
        </w:rPr>
        <w:t>, «</w:t>
      </w:r>
      <w:r w:rsidR="0076178D" w:rsidRPr="0076178D">
        <w:rPr>
          <w:rFonts w:ascii="Times New Roman" w:hAnsi="Times New Roman" w:cs="Times New Roman"/>
          <w:sz w:val="24"/>
          <w:szCs w:val="24"/>
        </w:rPr>
        <w:t>Бухгалтерський облік (теорія)</w:t>
      </w:r>
      <w:r w:rsidR="0076178D">
        <w:rPr>
          <w:rFonts w:ascii="Times New Roman" w:hAnsi="Times New Roman" w:cs="Times New Roman"/>
          <w:sz w:val="24"/>
          <w:szCs w:val="24"/>
        </w:rPr>
        <w:t>», «Фінансовий облік 1», «Фінансовий облік 2».</w:t>
      </w:r>
    </w:p>
    <w:p w:rsidR="00251BAD" w:rsidRPr="00A4288A" w:rsidRDefault="00251BAD" w:rsidP="005349DF">
      <w:pPr>
        <w:tabs>
          <w:tab w:val="left" w:pos="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4. </w:t>
      </w:r>
      <w:r w:rsidRPr="00A4288A"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>Результати навчання:</w:t>
      </w:r>
    </w:p>
    <w:p w:rsidR="00251BAD" w:rsidRPr="00A4288A" w:rsidRDefault="00251BAD" w:rsidP="005349DF">
      <w:pPr>
        <w:tabs>
          <w:tab w:val="left" w:pos="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програма «Облік і оподаткування») вивчення дисципліни «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BE4F53">
        <w:rPr>
          <w:rFonts w:ascii="Times New Roman" w:hAnsi="Times New Roman" w:cs="Times New Roman"/>
          <w:bCs/>
          <w:sz w:val="24"/>
          <w:szCs w:val="24"/>
        </w:rPr>
        <w:t>рофесійн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E4F5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BE4F53">
        <w:rPr>
          <w:rFonts w:ascii="Times New Roman" w:hAnsi="Times New Roman" w:cs="Times New Roman"/>
          <w:bCs/>
          <w:sz w:val="24"/>
          <w:szCs w:val="24"/>
        </w:rPr>
        <w:t>тика бухгалтера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поглибленню</w:t>
      </w:r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A42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</w:t>
      </w:r>
    </w:p>
    <w:p w:rsidR="00251BAD" w:rsidRPr="00A4288A" w:rsidRDefault="00251BAD" w:rsidP="005349DF">
      <w:pPr>
        <w:tabs>
          <w:tab w:val="left" w:pos="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4288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Загальні компетентності:</w:t>
      </w:r>
    </w:p>
    <w:p w:rsidR="00251BAD" w:rsidRPr="00211081" w:rsidRDefault="00251BAD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7552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251BAD" w:rsidRPr="00211081" w:rsidRDefault="00251BAD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7552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251BAD" w:rsidRDefault="00251BAD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7552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251BAD" w:rsidRPr="00211081" w:rsidRDefault="00251BAD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C459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7552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C459C">
        <w:rPr>
          <w:rFonts w:ascii="Times New Roman" w:eastAsia="Times New Roman" w:hAnsi="Times New Roman" w:cs="Times New Roman"/>
          <w:sz w:val="24"/>
          <w:szCs w:val="24"/>
          <w:lang w:eastAsia="uk-UA"/>
        </w:rPr>
        <w:t>6. Здатність діяти на основі етичних міркувань (мотивів).</w:t>
      </w:r>
    </w:p>
    <w:p w:rsidR="00251BAD" w:rsidRPr="00211081" w:rsidRDefault="00251BAD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67552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211081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251BAD" w:rsidRPr="002F371C" w:rsidRDefault="00470BB7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="00251BAD"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251BAD" w:rsidRPr="002F371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251BAD" w:rsidRPr="00C53C58" w:rsidRDefault="0067552C" w:rsidP="005349DF">
      <w:pPr>
        <w:spacing w:after="0" w:line="288" w:lineRule="auto"/>
        <w:ind w:left="72" w:firstLine="63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251BAD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 Здатність застосовувати етичні принципи під час виконання професійних обов’язків. </w:t>
      </w:r>
    </w:p>
    <w:p w:rsidR="00251BAD" w:rsidRDefault="0067552C" w:rsidP="005349D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СК</w:t>
      </w:r>
      <w:r w:rsidR="00251BAD"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251BAD" w:rsidRPr="00C53C58" w:rsidRDefault="00251BAD" w:rsidP="005349DF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програмні результати</w:t>
      </w:r>
      <w:r w:rsidRPr="00C53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3C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навчання:</w:t>
      </w:r>
    </w:p>
    <w:p w:rsidR="00251BAD" w:rsidRDefault="00251BAD" w:rsidP="005349DF">
      <w:pPr>
        <w:widowControl w:val="0"/>
        <w:tabs>
          <w:tab w:val="left" w:pos="900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3C5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</w:r>
    </w:p>
    <w:p w:rsidR="00251BAD" w:rsidRDefault="00251BAD" w:rsidP="005349DF">
      <w:pPr>
        <w:widowControl w:val="0"/>
        <w:tabs>
          <w:tab w:val="left" w:pos="900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08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577822" w:rsidRPr="00D5080E" w:rsidRDefault="00577822" w:rsidP="005349DF">
      <w:pPr>
        <w:widowControl w:val="0"/>
        <w:tabs>
          <w:tab w:val="left" w:pos="900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7782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</w:t>
      </w:r>
      <w:r w:rsidRPr="0057782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держави.</w:t>
      </w:r>
    </w:p>
    <w:p w:rsidR="00251BAD" w:rsidRPr="00B55007" w:rsidRDefault="00AB266A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251BAD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Опис навчальної дисципліни </w:t>
      </w:r>
    </w:p>
    <w:p w:rsidR="00251BAD" w:rsidRPr="00B55007" w:rsidRDefault="00251BAD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1BAD" w:rsidRDefault="00AB266A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51BAD" w:rsidRPr="00B55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Загальна інформація</w:t>
      </w:r>
    </w:p>
    <w:p w:rsidR="005349DF" w:rsidRPr="00B55007" w:rsidRDefault="005349DF" w:rsidP="00251BA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854"/>
        <w:gridCol w:w="659"/>
        <w:gridCol w:w="749"/>
        <w:gridCol w:w="751"/>
        <w:gridCol w:w="749"/>
        <w:gridCol w:w="607"/>
        <w:gridCol w:w="607"/>
        <w:gridCol w:w="606"/>
        <w:gridCol w:w="606"/>
        <w:gridCol w:w="636"/>
        <w:gridCol w:w="619"/>
        <w:gridCol w:w="1307"/>
      </w:tblGrid>
      <w:tr w:rsidR="005349DF" w:rsidRPr="00D5080E" w:rsidTr="00660799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дисципліни:</w:t>
            </w: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Професійна етика бухгалтера</w:t>
            </w:r>
          </w:p>
        </w:tc>
      </w:tr>
      <w:tr w:rsidR="005349DF" w:rsidRPr="00D5080E" w:rsidTr="00660799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5349DF" w:rsidRPr="00D5080E" w:rsidRDefault="005349DF" w:rsidP="00660799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підсумко</w:t>
            </w:r>
            <w:proofErr w:type="spellEnd"/>
          </w:p>
          <w:p w:rsidR="005349DF" w:rsidRPr="00D5080E" w:rsidRDefault="005349DF" w:rsidP="00660799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5349DF" w:rsidRPr="00D5080E" w:rsidTr="00660799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змістових модулів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5349DF" w:rsidRPr="00D5080E" w:rsidTr="00660799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D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93F2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893F2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93F2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залік</w:t>
            </w:r>
          </w:p>
        </w:tc>
      </w:tr>
      <w:tr w:rsidR="005349DF" w:rsidRPr="00D5080E" w:rsidTr="00660799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D508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93F2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893F2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</w:t>
            </w:r>
            <w:r w:rsidR="00893F23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49DF" w:rsidRPr="00D5080E" w:rsidRDefault="005349DF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залік</w:t>
            </w:r>
            <w:r w:rsidRPr="00D5080E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</w:tr>
    </w:tbl>
    <w:p w:rsidR="00AB266A" w:rsidRDefault="00AB266A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  <w:sectPr w:rsidR="00AB266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B7FCF" w:rsidRPr="007B7FCF" w:rsidRDefault="007B7FCF" w:rsidP="007B7F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F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5.2. Дидактична карта навчальної дисципліни</w:t>
      </w:r>
    </w:p>
    <w:p w:rsidR="007B7FCF" w:rsidRDefault="007B7FCF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58"/>
        <w:gridCol w:w="782"/>
        <w:gridCol w:w="456"/>
        <w:gridCol w:w="456"/>
        <w:gridCol w:w="506"/>
        <w:gridCol w:w="567"/>
        <w:gridCol w:w="567"/>
        <w:gridCol w:w="793"/>
        <w:gridCol w:w="336"/>
        <w:gridCol w:w="336"/>
        <w:gridCol w:w="536"/>
        <w:gridCol w:w="507"/>
        <w:gridCol w:w="576"/>
      </w:tblGrid>
      <w:tr w:rsidR="00E65245" w:rsidRPr="00EA4452" w:rsidTr="00DC6108">
        <w:tc>
          <w:tcPr>
            <w:tcW w:w="3379" w:type="dxa"/>
            <w:vMerge w:val="restart"/>
          </w:tcPr>
          <w:p w:rsidR="007B7FCF" w:rsidRPr="00EA4452" w:rsidRDefault="007B7FCF" w:rsidP="00660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7FCF" w:rsidRPr="00EA4452" w:rsidRDefault="007B7FCF" w:rsidP="006607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6476" w:type="dxa"/>
            <w:gridSpan w:val="13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Кількість годин</w:t>
            </w:r>
          </w:p>
        </w:tc>
      </w:tr>
      <w:tr w:rsidR="00E65245" w:rsidRPr="00EA4452" w:rsidTr="00A13651">
        <w:tc>
          <w:tcPr>
            <w:tcW w:w="3379" w:type="dxa"/>
            <w:vMerge/>
          </w:tcPr>
          <w:p w:rsidR="007B7FCF" w:rsidRPr="00EA4452" w:rsidRDefault="007B7FCF" w:rsidP="00660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  <w:gridSpan w:val="7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Денна форма</w:t>
            </w:r>
          </w:p>
        </w:tc>
        <w:tc>
          <w:tcPr>
            <w:tcW w:w="3084" w:type="dxa"/>
            <w:gridSpan w:val="6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Заочна форма</w:t>
            </w:r>
          </w:p>
        </w:tc>
      </w:tr>
      <w:tr w:rsidR="00DC6108" w:rsidRPr="00EA4452" w:rsidTr="00A13651">
        <w:tc>
          <w:tcPr>
            <w:tcW w:w="3379" w:type="dxa"/>
            <w:vMerge/>
          </w:tcPr>
          <w:p w:rsidR="007B7FCF" w:rsidRPr="00EA4452" w:rsidRDefault="007B7FCF" w:rsidP="00660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vMerge w:val="restart"/>
          </w:tcPr>
          <w:p w:rsidR="007B7FCF" w:rsidRPr="00DC6108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2552" w:type="dxa"/>
            <w:gridSpan w:val="5"/>
          </w:tcPr>
          <w:p w:rsidR="007B7FCF" w:rsidRPr="00DC6108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у тому числі</w:t>
            </w:r>
          </w:p>
        </w:tc>
        <w:tc>
          <w:tcPr>
            <w:tcW w:w="793" w:type="dxa"/>
            <w:vMerge w:val="restart"/>
          </w:tcPr>
          <w:p w:rsidR="007B7FCF" w:rsidRPr="00DC6108" w:rsidRDefault="007B7FCF" w:rsidP="00EE0B40">
            <w:pPr>
              <w:ind w:left="-54" w:right="-109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2291" w:type="dxa"/>
            <w:gridSpan w:val="5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у тому числі</w:t>
            </w:r>
          </w:p>
        </w:tc>
      </w:tr>
      <w:tr w:rsidR="00DC6108" w:rsidRPr="00EA4452" w:rsidTr="00A13651">
        <w:tc>
          <w:tcPr>
            <w:tcW w:w="3379" w:type="dxa"/>
            <w:vMerge/>
          </w:tcPr>
          <w:p w:rsidR="007B7FCF" w:rsidRPr="00EA4452" w:rsidRDefault="007B7FCF" w:rsidP="006607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2"/>
            <w:vMerge/>
          </w:tcPr>
          <w:p w:rsidR="007B7FCF" w:rsidRPr="00DC6108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6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л</w:t>
            </w:r>
          </w:p>
        </w:tc>
        <w:tc>
          <w:tcPr>
            <w:tcW w:w="456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п</w:t>
            </w:r>
          </w:p>
        </w:tc>
        <w:tc>
          <w:tcPr>
            <w:tcW w:w="506" w:type="dxa"/>
          </w:tcPr>
          <w:p w:rsidR="007B7FCF" w:rsidRPr="00DC6108" w:rsidRDefault="007B7FCF" w:rsidP="00660799">
            <w:pPr>
              <w:ind w:right="-107" w:hanging="18"/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DC6108">
              <w:rPr>
                <w:rFonts w:ascii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567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C6108">
              <w:rPr>
                <w:rFonts w:ascii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567" w:type="dxa"/>
          </w:tcPr>
          <w:p w:rsidR="007B7FCF" w:rsidRPr="00DC6108" w:rsidRDefault="007B7FCF" w:rsidP="00660799">
            <w:pPr>
              <w:ind w:hanging="108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C6108">
              <w:rPr>
                <w:rFonts w:ascii="Times New Roman" w:hAnsi="Times New Roman" w:cs="Times New Roman"/>
                <w:lang w:eastAsia="ru-RU"/>
              </w:rPr>
              <w:t>с.р</w:t>
            </w:r>
            <w:proofErr w:type="spellEnd"/>
            <w:r w:rsidRPr="00DC610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93" w:type="dxa"/>
            <w:vMerge/>
          </w:tcPr>
          <w:p w:rsidR="007B7FCF" w:rsidRPr="00DC6108" w:rsidRDefault="007B7FCF" w:rsidP="00660799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6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л</w:t>
            </w:r>
          </w:p>
        </w:tc>
        <w:tc>
          <w:tcPr>
            <w:tcW w:w="336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C6108">
              <w:rPr>
                <w:rFonts w:ascii="Times New Roman" w:hAnsi="Times New Roman" w:cs="Times New Roman"/>
                <w:lang w:eastAsia="ru-RU"/>
              </w:rPr>
              <w:t>п</w:t>
            </w:r>
          </w:p>
        </w:tc>
        <w:tc>
          <w:tcPr>
            <w:tcW w:w="536" w:type="dxa"/>
          </w:tcPr>
          <w:p w:rsidR="007B7FCF" w:rsidRPr="00DC6108" w:rsidRDefault="007B7FCF" w:rsidP="00660799">
            <w:pPr>
              <w:rPr>
                <w:rFonts w:ascii="Times New Roman" w:hAnsi="Times New Roman" w:cs="Times New Roman"/>
                <w:bCs/>
                <w:lang w:eastAsia="ru-RU"/>
              </w:rPr>
            </w:pPr>
            <w:proofErr w:type="spellStart"/>
            <w:r w:rsidRPr="00DC6108">
              <w:rPr>
                <w:rFonts w:ascii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507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C6108">
              <w:rPr>
                <w:rFonts w:ascii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576" w:type="dxa"/>
          </w:tcPr>
          <w:p w:rsidR="007B7FCF" w:rsidRPr="00DC6108" w:rsidRDefault="007B7FCF" w:rsidP="0066079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DC6108">
              <w:rPr>
                <w:rFonts w:ascii="Times New Roman" w:hAnsi="Times New Roman" w:cs="Times New Roman"/>
                <w:lang w:eastAsia="ru-RU"/>
              </w:rPr>
              <w:t>с.р</w:t>
            </w:r>
            <w:proofErr w:type="spellEnd"/>
            <w:r w:rsidRPr="00DC610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7B7FCF" w:rsidRPr="00EA4452" w:rsidTr="00DC6108">
        <w:trPr>
          <w:trHeight w:val="576"/>
        </w:trPr>
        <w:tc>
          <w:tcPr>
            <w:tcW w:w="9855" w:type="dxa"/>
            <w:gridSpan w:val="14"/>
            <w:vAlign w:val="center"/>
          </w:tcPr>
          <w:p w:rsidR="0032264A" w:rsidRPr="00EA4452" w:rsidRDefault="007B7FCF" w:rsidP="00322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Змістовий модуль 1. Основи професійної етики бухгалтера</w:t>
            </w:r>
          </w:p>
        </w:tc>
      </w:tr>
      <w:tr w:rsidR="00DC6108" w:rsidRPr="00EA4452" w:rsidTr="00A13651">
        <w:tc>
          <w:tcPr>
            <w:tcW w:w="3437" w:type="dxa"/>
            <w:gridSpan w:val="2"/>
          </w:tcPr>
          <w:p w:rsidR="007B7FCF" w:rsidRPr="00EE0B40" w:rsidRDefault="007B7FCF" w:rsidP="00DC6108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1. Професійна етика: сутн</w:t>
            </w:r>
            <w:r w:rsidR="00577822"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ість, виникнення та призначення</w:t>
            </w:r>
          </w:p>
        </w:tc>
        <w:tc>
          <w:tcPr>
            <w:tcW w:w="782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dxa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DC6108" w:rsidRPr="00EA4452" w:rsidTr="00A13651">
        <w:tc>
          <w:tcPr>
            <w:tcW w:w="3437" w:type="dxa"/>
            <w:gridSpan w:val="2"/>
          </w:tcPr>
          <w:p w:rsidR="007B7FCF" w:rsidRPr="00EE0B40" w:rsidRDefault="007B7FCF" w:rsidP="00DC610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2. Професійні об’єднання бухгалтерів – джерел</w:t>
            </w:r>
            <w:r w:rsidR="00577822"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етичних норм</w:t>
            </w:r>
          </w:p>
        </w:tc>
        <w:tc>
          <w:tcPr>
            <w:tcW w:w="782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C6108" w:rsidRPr="00EA4452" w:rsidTr="00A13651">
        <w:tc>
          <w:tcPr>
            <w:tcW w:w="3437" w:type="dxa"/>
            <w:gridSpan w:val="2"/>
          </w:tcPr>
          <w:p w:rsidR="007B7FCF" w:rsidRPr="00EE0B40" w:rsidRDefault="007B7FCF" w:rsidP="00DC610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 3. Професійна харак</w:t>
            </w:r>
            <w:r w:rsidR="00577822"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теристика сучасного бухгалтера </w:t>
            </w:r>
          </w:p>
        </w:tc>
        <w:tc>
          <w:tcPr>
            <w:tcW w:w="782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C6108" w:rsidRPr="00EA4452" w:rsidTr="00A13651">
        <w:tc>
          <w:tcPr>
            <w:tcW w:w="3437" w:type="dxa"/>
            <w:gridSpan w:val="2"/>
          </w:tcPr>
          <w:p w:rsidR="007B7FCF" w:rsidRPr="00EE0B40" w:rsidRDefault="007B7FCF" w:rsidP="00DC6108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4. Концептуальний підхід</w:t>
            </w:r>
            <w:r w:rsidR="00577822" w:rsidRPr="00EE0B4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 дотриманні професійної етики</w:t>
            </w:r>
          </w:p>
        </w:tc>
        <w:tc>
          <w:tcPr>
            <w:tcW w:w="782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3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C6108" w:rsidRPr="00EA4452" w:rsidTr="00A13651">
        <w:tc>
          <w:tcPr>
            <w:tcW w:w="3437" w:type="dxa"/>
            <w:gridSpan w:val="2"/>
          </w:tcPr>
          <w:p w:rsidR="007B7FCF" w:rsidRPr="00EA4452" w:rsidRDefault="007B7FCF" w:rsidP="00660799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1</w:t>
            </w:r>
          </w:p>
        </w:tc>
        <w:tc>
          <w:tcPr>
            <w:tcW w:w="782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7B7FCF" w:rsidRPr="00EA4452" w:rsidTr="00DC6108">
        <w:trPr>
          <w:trHeight w:val="486"/>
        </w:trPr>
        <w:tc>
          <w:tcPr>
            <w:tcW w:w="9855" w:type="dxa"/>
            <w:gridSpan w:val="14"/>
            <w:vAlign w:val="center"/>
          </w:tcPr>
          <w:p w:rsidR="007B7FCF" w:rsidRPr="00EA4452" w:rsidRDefault="007B7FCF" w:rsidP="00470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2. Особливості етики професійних бухгалтерів</w:t>
            </w:r>
          </w:p>
        </w:tc>
      </w:tr>
      <w:tr w:rsidR="00893F23" w:rsidRPr="00EA4452" w:rsidTr="00A13651">
        <w:tc>
          <w:tcPr>
            <w:tcW w:w="3379" w:type="dxa"/>
          </w:tcPr>
          <w:p w:rsidR="00893F23" w:rsidRPr="00EE0B40" w:rsidRDefault="00893F23" w:rsidP="00893F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5. Етика для професійних бухгалтерів-практиків</w:t>
            </w:r>
          </w:p>
        </w:tc>
        <w:tc>
          <w:tcPr>
            <w:tcW w:w="840" w:type="dxa"/>
            <w:gridSpan w:val="2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893F23" w:rsidRPr="00EA4452" w:rsidTr="00A13651">
        <w:tc>
          <w:tcPr>
            <w:tcW w:w="3379" w:type="dxa"/>
          </w:tcPr>
          <w:p w:rsidR="00893F23" w:rsidRPr="00EE0B40" w:rsidRDefault="00893F23" w:rsidP="00893F23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6. Етика для штатних професійних бухгалтерів</w:t>
            </w:r>
          </w:p>
        </w:tc>
        <w:tc>
          <w:tcPr>
            <w:tcW w:w="840" w:type="dxa"/>
            <w:gridSpan w:val="2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3F23" w:rsidRPr="00EA4452" w:rsidTr="00A13651">
        <w:tc>
          <w:tcPr>
            <w:tcW w:w="3379" w:type="dxa"/>
          </w:tcPr>
          <w:p w:rsidR="00893F23" w:rsidRPr="00EE0B40" w:rsidRDefault="00893F23" w:rsidP="00893F2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Тема 7. Етичні конфлікти та їх розв’язок</w:t>
            </w:r>
          </w:p>
        </w:tc>
        <w:tc>
          <w:tcPr>
            <w:tcW w:w="840" w:type="dxa"/>
            <w:gridSpan w:val="2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3F23" w:rsidRPr="00EA4452" w:rsidTr="00A13651">
        <w:tc>
          <w:tcPr>
            <w:tcW w:w="3379" w:type="dxa"/>
          </w:tcPr>
          <w:p w:rsidR="00893F23" w:rsidRPr="00EE0B40" w:rsidRDefault="00893F23" w:rsidP="00893F2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0B4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8. Корупція як прояв порушення етичних норм професійного бухгалтера </w:t>
            </w:r>
          </w:p>
        </w:tc>
        <w:tc>
          <w:tcPr>
            <w:tcW w:w="840" w:type="dxa"/>
            <w:gridSpan w:val="2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3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93F23" w:rsidRPr="00EA4452" w:rsidTr="00A13651">
        <w:tc>
          <w:tcPr>
            <w:tcW w:w="3379" w:type="dxa"/>
          </w:tcPr>
          <w:p w:rsidR="00893F23" w:rsidRPr="00EA4452" w:rsidRDefault="00893F23" w:rsidP="00893F23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Разом за змістовим модулем 2</w:t>
            </w:r>
          </w:p>
        </w:tc>
        <w:tc>
          <w:tcPr>
            <w:tcW w:w="840" w:type="dxa"/>
            <w:gridSpan w:val="2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3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893F23" w:rsidRPr="00EA4452" w:rsidRDefault="00893F23" w:rsidP="00893F2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DC6108" w:rsidRPr="00EA4452" w:rsidTr="00A13651">
        <w:tc>
          <w:tcPr>
            <w:tcW w:w="3379" w:type="dxa"/>
          </w:tcPr>
          <w:p w:rsidR="007B7FCF" w:rsidRPr="00EA4452" w:rsidRDefault="007B7FCF" w:rsidP="0066079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Усього</w:t>
            </w:r>
            <w:proofErr w:type="spellEnd"/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годин</w:t>
            </w:r>
          </w:p>
        </w:tc>
        <w:tc>
          <w:tcPr>
            <w:tcW w:w="840" w:type="dxa"/>
            <w:gridSpan w:val="2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6" w:type="dxa"/>
          </w:tcPr>
          <w:p w:rsidR="007B7FCF" w:rsidRPr="00EA4452" w:rsidRDefault="007B7FCF" w:rsidP="0066079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0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7B7FCF" w:rsidRPr="00EA4452" w:rsidRDefault="00893F23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7B7FCF"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6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7" w:type="dxa"/>
          </w:tcPr>
          <w:p w:rsidR="007B7FCF" w:rsidRPr="00EA4452" w:rsidRDefault="007B7FCF" w:rsidP="006607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6" w:type="dxa"/>
          </w:tcPr>
          <w:p w:rsidR="007B7FCF" w:rsidRPr="00EA4452" w:rsidRDefault="007B7FCF" w:rsidP="00893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93F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EA44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C2C52" w:rsidRDefault="00FC2C52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7B7FCF" w:rsidRPr="00554172" w:rsidRDefault="007B7FCF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54172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5.3. Зміст завдань для самостійної роботи </w:t>
      </w:r>
    </w:p>
    <w:p w:rsidR="007B7FCF" w:rsidRDefault="007B7FCF" w:rsidP="007B7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B7FCF" w:rsidRDefault="007B7FCF" w:rsidP="007B7F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Професійна етика бухгалтера</w:t>
      </w:r>
      <w:r w:rsidRPr="00554172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660799" w:rsidRPr="00554172" w:rsidRDefault="00660799" w:rsidP="007B7F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350"/>
        <w:gridCol w:w="991"/>
        <w:gridCol w:w="958"/>
      </w:tblGrid>
      <w:tr w:rsidR="00660799" w:rsidRPr="0029356F" w:rsidTr="00660799">
        <w:tc>
          <w:tcPr>
            <w:tcW w:w="282" w:type="pct"/>
            <w:vMerge w:val="restart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60799" w:rsidRPr="0029356F" w:rsidRDefault="00660799" w:rsidP="006607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729" w:type="pct"/>
            <w:vMerge w:val="restart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989" w:type="pct"/>
            <w:gridSpan w:val="2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660799" w:rsidRPr="0029356F" w:rsidTr="00660799">
        <w:tc>
          <w:tcPr>
            <w:tcW w:w="282" w:type="pct"/>
            <w:vMerge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9" w:type="pct"/>
            <w:vMerge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shd w:val="clear" w:color="auto" w:fill="auto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486" w:type="pct"/>
          </w:tcPr>
          <w:p w:rsidR="00660799" w:rsidRPr="0029356F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>Тема 1. Професійна етика: сутність, виникнення та призначення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>Тема 2. Професійні об’єднання бухгалтерів – джерело етичних норм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 xml:space="preserve">Тема 3. Професійна характеристика сучасного бухгалтера 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Тема 4. Концептуальний підхід у дотриманні професійної етики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 5. Етика для пр</w:t>
            </w: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офесійних бухгалтерів-практиків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Тема 6. Етика для штатних професійних бухгалтерів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iCs/>
                <w:sz w:val="24"/>
              </w:rPr>
              <w:t>Тема 7. Етичні конфлікти та їх розв’язок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660799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893F23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</w:tr>
      <w:tr w:rsidR="00660799" w:rsidRPr="00296B00" w:rsidTr="00660799">
        <w:tc>
          <w:tcPr>
            <w:tcW w:w="282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9" w:type="pct"/>
            <w:shd w:val="clear" w:color="auto" w:fill="auto"/>
          </w:tcPr>
          <w:p w:rsidR="00660799" w:rsidRPr="00296B00" w:rsidRDefault="00660799" w:rsidP="006607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96B00">
              <w:rPr>
                <w:rFonts w:ascii="Times New Roman" w:hAnsi="Times New Roman" w:cs="Times New Roman"/>
                <w:bCs/>
                <w:sz w:val="24"/>
              </w:rPr>
              <w:t xml:space="preserve">Тема 8. Корупція як прояв порушення етичних норм професійного бухгалтера 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486" w:type="pct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13</w:t>
            </w:r>
          </w:p>
        </w:tc>
      </w:tr>
      <w:tr w:rsidR="00660799" w:rsidRPr="00296B00" w:rsidTr="00660799">
        <w:tc>
          <w:tcPr>
            <w:tcW w:w="4011" w:type="pct"/>
            <w:gridSpan w:val="2"/>
            <w:shd w:val="clear" w:color="auto" w:fill="auto"/>
          </w:tcPr>
          <w:p w:rsidR="00660799" w:rsidRPr="00296B00" w:rsidRDefault="00660799" w:rsidP="00660799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B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03" w:type="pct"/>
            <w:shd w:val="clear" w:color="auto" w:fill="auto"/>
          </w:tcPr>
          <w:p w:rsidR="00660799" w:rsidRPr="00296B00" w:rsidRDefault="00893F23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660799" w:rsidRPr="00296B00">
              <w:rPr>
                <w:rFonts w:ascii="Times New Roman" w:hAnsi="Times New Roman" w:cs="Times New Roman"/>
                <w:b/>
                <w:bCs/>
                <w:sz w:val="24"/>
              </w:rPr>
              <w:t>0</w:t>
            </w:r>
          </w:p>
        </w:tc>
        <w:tc>
          <w:tcPr>
            <w:tcW w:w="486" w:type="pct"/>
          </w:tcPr>
          <w:p w:rsidR="00660799" w:rsidRPr="00296B00" w:rsidRDefault="00660799" w:rsidP="00893F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296B00">
              <w:rPr>
                <w:rFonts w:ascii="Times New Roman" w:hAnsi="Times New Roman" w:cs="Times New Roman"/>
                <w:b/>
                <w:bCs/>
                <w:i/>
                <w:sz w:val="24"/>
              </w:rPr>
              <w:t>1</w:t>
            </w:r>
            <w:r w:rsidR="00893F23">
              <w:rPr>
                <w:rFonts w:ascii="Times New Roman" w:hAnsi="Times New Roman" w:cs="Times New Roman"/>
                <w:b/>
                <w:bCs/>
                <w:i/>
                <w:sz w:val="24"/>
              </w:rPr>
              <w:t>0</w:t>
            </w:r>
            <w:r w:rsidRPr="00296B00">
              <w:rPr>
                <w:rFonts w:ascii="Times New Roman" w:hAnsi="Times New Roman" w:cs="Times New Roman"/>
                <w:b/>
                <w:bCs/>
                <w:i/>
                <w:sz w:val="24"/>
              </w:rPr>
              <w:t>4</w:t>
            </w:r>
          </w:p>
        </w:tc>
      </w:tr>
    </w:tbl>
    <w:p w:rsidR="007B7FCF" w:rsidRDefault="007B7FCF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(лекція, дискусія, бесіда, пояснення, розповідь);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(практичні та ситуаційні завдання);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ілюстрації, відеоматеріали);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 дистанційне навчання з використанням онлайн-платформ).</w:t>
      </w:r>
    </w:p>
    <w:p w:rsidR="00660799" w:rsidRPr="00D16A9C" w:rsidRDefault="00660799" w:rsidP="00660799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фронтальне усне опитування термінів глосарію;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тестування;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оцінювання виконаних практичних завдань;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660799" w:rsidRPr="00716ED2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60799" w:rsidRPr="00D16A9C" w:rsidRDefault="00660799" w:rsidP="0066079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660799" w:rsidRPr="00D16A9C" w:rsidRDefault="00660799" w:rsidP="006607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практичних (лабораторних) занять. За об’єктивних причин навчання може відбуватись за індивідуальним графіком чи у он-лайн форматі.</w:t>
      </w:r>
    </w:p>
    <w:p w:rsidR="00660799" w:rsidRPr="00D16A9C" w:rsidRDefault="00660799" w:rsidP="006607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660799" w:rsidRPr="00D16A9C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усних відповідях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660799" w:rsidRPr="00D16A9C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виконанні письмових завдань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660799" w:rsidRPr="00D16A9C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660799" w:rsidRPr="00D16A9C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поточного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досягнень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відображаються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Журналі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обліку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успішності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(за темами)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викладача</w:t>
      </w:r>
      <w:proofErr w:type="spellEnd"/>
    </w:p>
    <w:p w:rsidR="00660799" w:rsidRDefault="00660799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799" w:rsidRDefault="00660799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799" w:rsidRDefault="00660799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799" w:rsidRDefault="00660799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0799" w:rsidRPr="00BF10F1" w:rsidRDefault="00660799" w:rsidP="00660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F10F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Розподіл балів, які отримують здобувачі</w:t>
      </w:r>
    </w:p>
    <w:p w:rsidR="00660799" w:rsidRPr="00BF10F1" w:rsidRDefault="00660799" w:rsidP="006607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852"/>
        <w:gridCol w:w="986"/>
        <w:gridCol w:w="852"/>
        <w:gridCol w:w="850"/>
        <w:gridCol w:w="849"/>
        <w:gridCol w:w="850"/>
        <w:gridCol w:w="1135"/>
        <w:gridCol w:w="1429"/>
        <w:gridCol w:w="1229"/>
      </w:tblGrid>
      <w:tr w:rsidR="00660799" w:rsidRPr="00BF10F1" w:rsidTr="008624F1">
        <w:tc>
          <w:tcPr>
            <w:tcW w:w="3654" w:type="pct"/>
            <w:gridSpan w:val="8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BF10F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660799" w:rsidRPr="00BF10F1" w:rsidRDefault="00660799" w:rsidP="008624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="008624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залік</w:t>
            </w: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660799" w:rsidRPr="00BF10F1" w:rsidTr="008624F1">
        <w:tc>
          <w:tcPr>
            <w:tcW w:w="1784" w:type="pct"/>
            <w:gridSpan w:val="4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1870" w:type="pct"/>
            <w:gridSpan w:val="4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725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799" w:rsidRPr="00BF10F1" w:rsidTr="008624F1">
        <w:tc>
          <w:tcPr>
            <w:tcW w:w="418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433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0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3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32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  <w:p w:rsidR="00660799" w:rsidRPr="00BF10F1" w:rsidRDefault="00660799" w:rsidP="0066079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576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0799" w:rsidRPr="00BF10F1" w:rsidTr="008624F1">
        <w:tc>
          <w:tcPr>
            <w:tcW w:w="418" w:type="pct"/>
            <w:shd w:val="clear" w:color="auto" w:fill="auto"/>
          </w:tcPr>
          <w:p w:rsidR="00660799" w:rsidRPr="00BF10F1" w:rsidRDefault="00313BBB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3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pct"/>
            <w:shd w:val="clear" w:color="auto" w:fill="auto"/>
          </w:tcPr>
          <w:p w:rsidR="00660799" w:rsidRPr="00BF10F1" w:rsidRDefault="00313BBB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1" w:type="pct"/>
            <w:shd w:val="clear" w:color="auto" w:fill="auto"/>
          </w:tcPr>
          <w:p w:rsidR="00660799" w:rsidRPr="00BF10F1" w:rsidRDefault="00660799" w:rsidP="0066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660799" w:rsidRDefault="00660799" w:rsidP="00660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8104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та 30 балів за 2 змістовий модуль</w:t>
      </w: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заліку). </w:t>
      </w:r>
    </w:p>
    <w:p w:rsidR="00660799" w:rsidRPr="008104B8" w:rsidRDefault="00660799" w:rsidP="0066079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>З навчальної дисципліни «</w:t>
      </w:r>
      <w:r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eastAsia="uk-UA"/>
        </w:rPr>
        <w:t>Професійна етика бухгалтера</w:t>
      </w: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» проводиться семестровий </w:t>
      </w:r>
      <w:r w:rsidRPr="008104B8">
        <w:rPr>
          <w:rFonts w:ascii="Times New Roman" w:eastAsia="Calibri" w:hAnsi="Times New Roman" w:cs="Times New Roman"/>
          <w:b/>
          <w:i/>
          <w:sz w:val="24"/>
          <w:szCs w:val="28"/>
          <w:shd w:val="clear" w:color="auto" w:fill="FFFFFF"/>
          <w:lang w:eastAsia="uk-UA"/>
        </w:rPr>
        <w:t>залік</w:t>
      </w: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eastAsia="uk-UA"/>
        </w:rPr>
        <w:t xml:space="preserve">. </w:t>
      </w:r>
      <w:r w:rsidRPr="008104B8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Здобувач отримує завдання, що містить теоретичне питання з дисципліни, тестові завдання, глосарій і виробничу ситуацію.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заліку, входить: теоретичне питання (10 балів), 4 тести «правильно-неправильно» - по 2 бали (сумарно 8 балів), визначення 4 термінів - по 2 бали (сумарно 8 балів), виробнича ситуація (14 балів). 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14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Також залік може бути проведений у письмовій формі.</w:t>
      </w:r>
    </w:p>
    <w:p w:rsidR="00660799" w:rsidRPr="008104B8" w:rsidRDefault="00660799" w:rsidP="0066079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</w:p>
    <w:p w:rsidR="00660799" w:rsidRPr="008104B8" w:rsidRDefault="00660799" w:rsidP="0066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8104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8104B8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660799" w:rsidRPr="008104B8" w:rsidTr="00660799">
        <w:tc>
          <w:tcPr>
            <w:tcW w:w="3419" w:type="dxa"/>
            <w:vMerge w:val="restart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за шкалою </w:t>
            </w:r>
            <w:r w:rsidRPr="008104B8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660799" w:rsidRPr="008104B8" w:rsidTr="00660799">
        <w:tc>
          <w:tcPr>
            <w:tcW w:w="3419" w:type="dxa"/>
            <w:vMerge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660799" w:rsidRPr="008104B8" w:rsidTr="00660799">
        <w:tc>
          <w:tcPr>
            <w:tcW w:w="3419" w:type="dxa"/>
            <w:shd w:val="clear" w:color="auto" w:fill="auto"/>
            <w:vAlign w:val="center"/>
          </w:tcPr>
          <w:p w:rsidR="00660799" w:rsidRPr="008104B8" w:rsidRDefault="00893F23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</w:tr>
      <w:tr w:rsidR="00660799" w:rsidRPr="008104B8" w:rsidTr="00660799">
        <w:tc>
          <w:tcPr>
            <w:tcW w:w="3419" w:type="dxa"/>
            <w:vMerge w:val="restart"/>
            <w:shd w:val="clear" w:color="auto" w:fill="auto"/>
            <w:vAlign w:val="center"/>
          </w:tcPr>
          <w:p w:rsidR="00660799" w:rsidRPr="008104B8" w:rsidRDefault="00893F23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дуже добре</w:t>
            </w:r>
          </w:p>
        </w:tc>
      </w:tr>
      <w:tr w:rsidR="00660799" w:rsidRPr="008104B8" w:rsidTr="00660799">
        <w:tc>
          <w:tcPr>
            <w:tcW w:w="3419" w:type="dxa"/>
            <w:vMerge/>
            <w:shd w:val="clear" w:color="auto" w:fill="auto"/>
            <w:vAlign w:val="center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</w:tr>
      <w:tr w:rsidR="00660799" w:rsidRPr="008104B8" w:rsidTr="00660799">
        <w:tc>
          <w:tcPr>
            <w:tcW w:w="3419" w:type="dxa"/>
            <w:vMerge w:val="restart"/>
            <w:shd w:val="clear" w:color="auto" w:fill="auto"/>
            <w:vAlign w:val="center"/>
          </w:tcPr>
          <w:p w:rsidR="00660799" w:rsidRPr="008104B8" w:rsidRDefault="00893F23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зараховано</w:t>
            </w: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</w:tr>
      <w:tr w:rsidR="00660799" w:rsidRPr="008104B8" w:rsidTr="00660799">
        <w:tc>
          <w:tcPr>
            <w:tcW w:w="3419" w:type="dxa"/>
            <w:vMerge/>
            <w:shd w:val="clear" w:color="auto" w:fill="auto"/>
            <w:vAlign w:val="center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достатньо</w:t>
            </w:r>
          </w:p>
        </w:tc>
      </w:tr>
      <w:tr w:rsidR="00660799" w:rsidRPr="008104B8" w:rsidTr="00660799">
        <w:tc>
          <w:tcPr>
            <w:tcW w:w="3419" w:type="dxa"/>
            <w:vMerge w:val="restart"/>
            <w:shd w:val="clear" w:color="auto" w:fill="auto"/>
            <w:vAlign w:val="center"/>
          </w:tcPr>
          <w:p w:rsidR="00660799" w:rsidRPr="008104B8" w:rsidRDefault="00660799" w:rsidP="00893F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</w:t>
            </w:r>
            <w:r w:rsidR="00893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bookmarkStart w:id="0" w:name="_GoBack"/>
            <w:bookmarkEnd w:id="0"/>
            <w:r w:rsidR="00893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араховано</w:t>
            </w: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660799" w:rsidRPr="008104B8" w:rsidTr="00660799">
        <w:tc>
          <w:tcPr>
            <w:tcW w:w="3419" w:type="dxa"/>
            <w:vMerge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660799" w:rsidRPr="008104B8" w:rsidRDefault="00660799" w:rsidP="006607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660799" w:rsidRPr="008104B8" w:rsidRDefault="00660799" w:rsidP="0066079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«В» за умови такого розкриття теоретичного питання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Відповідь оцінюється на «С» за умови повного та правильного розкриття питання або правильного розв’язання виробничої ситуації, але у відповіді недостатньо правильно </w:t>
      </w: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сформульовано визначення з глосарію. У той же час тестові завдання вирішені на належному рівні.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660799" w:rsidRPr="008104B8" w:rsidRDefault="00660799" w:rsidP="00660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усіх інших випадках відповідь оцінюється на «</w:t>
      </w:r>
      <w:proofErr w:type="spellStart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Fx</w:t>
      </w:r>
      <w:proofErr w:type="spellEnd"/>
      <w:r w:rsidRPr="008104B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».</w:t>
      </w:r>
    </w:p>
    <w:p w:rsidR="00660799" w:rsidRDefault="00660799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1346" w:rsidRDefault="00931346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1346" w:rsidRPr="00D46351" w:rsidRDefault="00931346" w:rsidP="0093134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Pr="00D4635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4635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r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</w:p>
    <w:p w:rsidR="00931346" w:rsidRPr="00541EFC" w:rsidRDefault="00931346" w:rsidP="009313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Базова (основна) література</w:t>
      </w:r>
    </w:p>
    <w:p w:rsidR="00931346" w:rsidRPr="00D46351" w:rsidRDefault="00931346" w:rsidP="009313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346" w:rsidRPr="00541EFC" w:rsidRDefault="00931346" w:rsidP="00931346">
      <w:pPr>
        <w:numPr>
          <w:ilvl w:val="0"/>
          <w:numId w:val="10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Бралатан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В. П.,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Гуцаленко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Л. В.,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Здирко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Н. Г. Професійна етика.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>. Київ: ЦУЛ. 2011. 252 с.</w:t>
      </w:r>
    </w:p>
    <w:p w:rsidR="00931346" w:rsidRPr="00541EFC" w:rsidRDefault="00931346" w:rsidP="00931346">
      <w:pPr>
        <w:numPr>
          <w:ilvl w:val="0"/>
          <w:numId w:val="10"/>
        </w:numPr>
        <w:spacing w:after="0" w:line="240" w:lineRule="auto"/>
        <w:ind w:left="425" w:hanging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Герасимова Л. М. Професійні цінності та етика бухгалтерів та аудиторів : підручник. 2014. URL: </w:t>
      </w:r>
      <w:hyperlink r:id="rId7" w:history="1">
        <w:r w:rsidRPr="00541EF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https://stud.com.ua/59909/etika_ta_estetika/profesiyna_etika_i_tsinnosti_buhgalteriv_i_auditoriv</w:t>
        </w:r>
      </w:hyperlink>
    </w:p>
    <w:p w:rsidR="00931346" w:rsidRPr="00541EFC" w:rsidRDefault="00931346" w:rsidP="00931346">
      <w:pPr>
        <w:pStyle w:val="a4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Кулинич М. Б., </w:t>
      </w:r>
      <w:proofErr w:type="spellStart"/>
      <w:r w:rsidRPr="00541EFC">
        <w:rPr>
          <w:rFonts w:ascii="Times New Roman" w:hAnsi="Times New Roman" w:cs="Times New Roman"/>
          <w:sz w:val="24"/>
          <w:szCs w:val="24"/>
        </w:rPr>
        <w:t>Скорук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О. В. Професійна етика бухгалтера, аудитора та податківця : конспект лекцій. Луцьк : Волинський національний університет імені Лесі Українки, 2022. 113 с. URL : </w:t>
      </w:r>
      <w:hyperlink r:id="rId8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https://evnuir.vnu.edu.ua/bitstream/123456789/20684/3/PEBAP_konspekt.pdf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346" w:rsidRPr="00D46351" w:rsidRDefault="00931346" w:rsidP="00931346">
      <w:pPr>
        <w:spacing w:after="0" w:line="360" w:lineRule="auto"/>
        <w:ind w:left="16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</w:t>
      </w:r>
      <w:r w:rsidRPr="00D46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 література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Бурденко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І. М., Майборода А. В. Професійна етика бухгалтера: управлінський підхід. </w:t>
      </w:r>
      <w:r w:rsidRPr="00541EFC">
        <w:rPr>
          <w:rFonts w:ascii="Times New Roman" w:hAnsi="Times New Roman" w:cs="Times New Roman"/>
          <w:i/>
          <w:sz w:val="24"/>
          <w:szCs w:val="24"/>
        </w:rPr>
        <w:t>Бізнес-навігатор</w:t>
      </w:r>
      <w:r w:rsidRPr="00541EFC">
        <w:rPr>
          <w:rFonts w:ascii="Times New Roman" w:hAnsi="Times New Roman" w:cs="Times New Roman"/>
          <w:sz w:val="24"/>
          <w:szCs w:val="24"/>
        </w:rPr>
        <w:t xml:space="preserve">, 2020. № 61. С.195-199. </w:t>
      </w:r>
      <w:r w:rsidRPr="00541E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1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http://business-navigator.ks.ua/journals/2020/61_2020/35.pdf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Герасимова Л. М. Професійні цінності та етика бухгалтерів та аудиторів : підручник. 2014. URL: </w:t>
      </w:r>
      <w:hyperlink r:id="rId10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https://stud.com.ua/59909/etika_ta_estetika/profesiyna_etika_i_tsinnosti_buhgalteriv_i_auditoriv</w:t>
        </w:r>
      </w:hyperlink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Кулинич М., </w:t>
      </w: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Скорук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О., </w:t>
      </w: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Сафарова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 Професійна етика бухгалтера, аудитора та платника податків як чинник формування громадської думки. </w:t>
      </w:r>
      <w:r w:rsidRPr="00541E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Економічний часопис Волинського національного університету імені Лесі Українки</w:t>
      </w: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2022. Т.1. №29. С.25–33. </w:t>
      </w:r>
      <w:r w:rsidRPr="00541EFC">
        <w:rPr>
          <w:rFonts w:ascii="Times New Roman" w:hAnsi="Times New Roman" w:cs="Times New Roman"/>
          <w:sz w:val="24"/>
          <w:szCs w:val="24"/>
        </w:rPr>
        <w:t xml:space="preserve">URL : </w:t>
      </w:r>
      <w:hyperlink r:id="rId11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https://echas.vnu.edu.ua/index.php/echas/article/view/727</w:t>
        </w:r>
      </w:hyperlink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Лугова О. І., Єременко А. В., Кириченко І. О., Косовська Ю. С. 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Професійна етика в роботі бухгалтера. </w:t>
      </w:r>
      <w:proofErr w:type="spellStart"/>
      <w:r w:rsidRPr="00541EFC">
        <w:rPr>
          <w:rFonts w:ascii="Times New Roman" w:hAnsi="Times New Roman" w:cs="Times New Roman"/>
          <w:bCs/>
          <w:i/>
          <w:sz w:val="24"/>
          <w:szCs w:val="24"/>
        </w:rPr>
        <w:t>Modern</w:t>
      </w:r>
      <w:proofErr w:type="spellEnd"/>
      <w:r w:rsidRPr="00541E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541EFC">
        <w:rPr>
          <w:rFonts w:ascii="Times New Roman" w:hAnsi="Times New Roman" w:cs="Times New Roman"/>
          <w:bCs/>
          <w:i/>
          <w:sz w:val="24"/>
          <w:szCs w:val="24"/>
        </w:rPr>
        <w:t>Economics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, 2019. №13. С. 154-160. </w:t>
      </w:r>
      <w:r w:rsidRPr="00541E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1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https://modecon.mnau.edu.ua/issue/13-2019/luhova.pdf</w:t>
        </w:r>
      </w:hyperlink>
      <w:r w:rsidRPr="0054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Мокринська</w:t>
      </w:r>
      <w:proofErr w:type="spellEnd"/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З. В. Кодекс етики професійних бухгалтерів як основа побудови ефективної бухгалтерської практики. </w:t>
      </w:r>
      <w:r w:rsidRPr="00541E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Економіка та держава</w:t>
      </w: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>, 2022. № 5. С. 79–84.</w:t>
      </w:r>
      <w:r w:rsidRPr="00541EFC">
        <w:rPr>
          <w:rFonts w:ascii="Times New Roman" w:hAnsi="Times New Roman" w:cs="Times New Roman"/>
          <w:sz w:val="24"/>
          <w:szCs w:val="24"/>
        </w:rPr>
        <w:t xml:space="preserve"> URL : </w:t>
      </w:r>
      <w:r w:rsidRPr="00541E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3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http://www.economy.in.ua/pdf/5_2022/14.pdf</w:t>
        </w:r>
      </w:hyperlink>
      <w:r w:rsidRPr="00541E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bCs/>
          <w:sz w:val="24"/>
          <w:szCs w:val="24"/>
        </w:rPr>
        <w:t>Нужна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 О. А. SOFT SKILLS та етичні аспекти ділової комунікації у професійній діяльності бухгалтера. 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>Галицький економічний вісник,</w:t>
      </w:r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bCs/>
          <w:sz w:val="24"/>
          <w:szCs w:val="24"/>
        </w:rPr>
        <w:t>2021. № 6 (73).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С. 25-32. </w:t>
      </w:r>
      <w:r w:rsidRPr="00541EFC">
        <w:rPr>
          <w:rFonts w:ascii="Times New Roman" w:hAnsi="Times New Roman" w:cs="Times New Roman"/>
          <w:sz w:val="24"/>
          <w:szCs w:val="24"/>
        </w:rPr>
        <w:t xml:space="preserve">URL : </w:t>
      </w:r>
      <w:hyperlink r:id="rId14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elartu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tntu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bitstream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/37511/2/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GEB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_2021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73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6_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Nuzhna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Soft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skills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and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ethical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aspects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_25-32.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sz w:val="24"/>
          <w:szCs w:val="24"/>
        </w:rPr>
        <w:t>Нужна</w:t>
      </w:r>
      <w:proofErr w:type="spellEnd"/>
      <w:r w:rsidRPr="00541EFC">
        <w:rPr>
          <w:rFonts w:ascii="Times New Roman" w:hAnsi="Times New Roman" w:cs="Times New Roman"/>
          <w:sz w:val="24"/>
          <w:szCs w:val="24"/>
        </w:rPr>
        <w:t xml:space="preserve"> О.А. 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Професійна етика та її місце у підготовці фахівців з обліку і оподаткування. </w:t>
      </w:r>
      <w:r w:rsidRPr="00541EFC">
        <w:rPr>
          <w:rFonts w:ascii="Times New Roman" w:hAnsi="Times New Roman" w:cs="Times New Roman"/>
          <w:i/>
          <w:sz w:val="24"/>
          <w:szCs w:val="24"/>
        </w:rPr>
        <w:t>Економічний форум</w:t>
      </w:r>
      <w:r w:rsidRPr="00541EFC">
        <w:rPr>
          <w:rFonts w:ascii="Times New Roman" w:hAnsi="Times New Roman" w:cs="Times New Roman"/>
          <w:sz w:val="24"/>
          <w:szCs w:val="24"/>
        </w:rPr>
        <w:t xml:space="preserve">, 2021. №2. С. 142-147. URL : </w:t>
      </w:r>
      <w:hyperlink r:id="rId15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lntu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ekonomichnyy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_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forum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article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view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/215/202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bCs/>
          <w:sz w:val="24"/>
          <w:szCs w:val="24"/>
        </w:rPr>
        <w:t xml:space="preserve">Орєхова А. І. Проблемні аспекти дотримання етичних норм професійними бухгалтерами. 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>Інвестиції : практика та досвід</w:t>
      </w:r>
      <w:r w:rsidRPr="00541EFC">
        <w:rPr>
          <w:rFonts w:ascii="Times New Roman" w:hAnsi="Times New Roman" w:cs="Times New Roman"/>
          <w:bCs/>
          <w:sz w:val="24"/>
          <w:szCs w:val="24"/>
        </w:rPr>
        <w:t>, 2020. № 23. С. 5-9.</w:t>
      </w:r>
      <w:r w:rsidRPr="00541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sz w:val="24"/>
          <w:szCs w:val="24"/>
        </w:rPr>
        <w:t xml:space="preserve">URL : </w:t>
      </w:r>
      <w:hyperlink r:id="rId16" w:history="1"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investplan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  <w:r w:rsidRPr="0067552C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/23_2020/3.</w:t>
        </w:r>
        <w:r w:rsidRPr="00541E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541E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541EFC">
        <w:rPr>
          <w:rFonts w:ascii="Times New Roman" w:hAnsi="Times New Roman" w:cs="Times New Roman"/>
          <w:bCs/>
          <w:sz w:val="24"/>
          <w:szCs w:val="24"/>
        </w:rPr>
        <w:t>Розіт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 Т. В., </w:t>
      </w:r>
      <w:proofErr w:type="spellStart"/>
      <w:r w:rsidRPr="00541EFC">
        <w:rPr>
          <w:rFonts w:ascii="Times New Roman" w:hAnsi="Times New Roman" w:cs="Times New Roman"/>
          <w:bCs/>
          <w:sz w:val="24"/>
          <w:szCs w:val="24"/>
        </w:rPr>
        <w:t>Слюніна</w:t>
      </w:r>
      <w:proofErr w:type="spellEnd"/>
      <w:r w:rsidRPr="00541EFC">
        <w:rPr>
          <w:rFonts w:ascii="Times New Roman" w:hAnsi="Times New Roman" w:cs="Times New Roman"/>
          <w:bCs/>
          <w:sz w:val="24"/>
          <w:szCs w:val="24"/>
        </w:rPr>
        <w:t xml:space="preserve"> Т. Л. Національні особливості застосування кодексу етики професійних бухгалтерів міжнародної федерації бухгалтерів. </w:t>
      </w:r>
      <w:r w:rsidRPr="00541EFC">
        <w:rPr>
          <w:rFonts w:ascii="Times New Roman" w:hAnsi="Times New Roman" w:cs="Times New Roman"/>
          <w:bCs/>
          <w:i/>
          <w:sz w:val="24"/>
          <w:szCs w:val="24"/>
        </w:rPr>
        <w:t>Інфраструктура ринку</w:t>
      </w:r>
      <w:r w:rsidRPr="00541E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41EF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2019. № 30. С. 551-556. </w:t>
      </w:r>
      <w:r w:rsidRPr="00541EFC">
        <w:rPr>
          <w:rFonts w:ascii="Times New Roman" w:hAnsi="Times New Roman" w:cs="Times New Roman"/>
          <w:sz w:val="24"/>
          <w:szCs w:val="24"/>
        </w:rPr>
        <w:t xml:space="preserve">URL : </w:t>
      </w:r>
      <w:hyperlink r:id="rId17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http://www.market-infr.od.ua/journals/2019/30_2019_ukr/85.pdf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346" w:rsidRPr="00541EFC" w:rsidRDefault="00931346" w:rsidP="00931346">
      <w:pPr>
        <w:pStyle w:val="a4"/>
        <w:numPr>
          <w:ilvl w:val="1"/>
          <w:numId w:val="1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1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931346" w:rsidRPr="00541EFC" w:rsidRDefault="00931346" w:rsidP="00931346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Кодекс етики професійних бухгалтерів. Федерація професійних бухгалтерів і аудиторів України, 2012. URL: </w:t>
      </w:r>
      <w:hyperlink r:id="rId18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https://lexinform.com.ua/wp-content/uploads/2018/09/Code-of-Ethics_ukr.pdf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Міжнародний кодекс етики професійних бухгалтерів. Міжнародна федерація бухгалтерів, 2018. URL: </w:t>
      </w:r>
      <w:hyperlink r:id="rId19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https://mof.gov.ua/storage/files/kodex_et.pdf</w:t>
        </w:r>
      </w:hyperlink>
      <w:r w:rsidRPr="00541EF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Про бухгалтерський облік та фінансову звітність в Україні : Закон України від 16.07.1999 р. № 996–ХІ. </w:t>
      </w:r>
      <w:r w:rsidRPr="00541EFC">
        <w:rPr>
          <w:rFonts w:ascii="Times New Roman" w:hAnsi="Times New Roman" w:cs="Times New Roman"/>
          <w:i/>
          <w:sz w:val="24"/>
          <w:szCs w:val="24"/>
        </w:rPr>
        <w:t>Відомості Верховної Ради України (ВВР)</w:t>
      </w:r>
      <w:r w:rsidRPr="00541EFC">
        <w:rPr>
          <w:rFonts w:ascii="Times New Roman" w:hAnsi="Times New Roman" w:cs="Times New Roman"/>
          <w:sz w:val="24"/>
          <w:szCs w:val="24"/>
        </w:rPr>
        <w:t xml:space="preserve">. 1999. № 40. ст.365. </w:t>
      </w:r>
      <w:r w:rsidRPr="00541EFC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41EFC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anchor="Text" w:history="1">
        <w:r w:rsidRPr="00541EF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https://zakon.rada.gov.ua/laws/show/996-14#Text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346" w:rsidRPr="00541EFC" w:rsidRDefault="00931346" w:rsidP="00931346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541EFC">
        <w:rPr>
          <w:rFonts w:ascii="Times New Roman" w:hAnsi="Times New Roman" w:cs="Times New Roman"/>
          <w:sz w:val="24"/>
          <w:szCs w:val="24"/>
        </w:rPr>
        <w:t xml:space="preserve">Про запобігання корупції : Закон України від 14.10.2014 р. № </w:t>
      </w:r>
      <w:r w:rsidRPr="00541EFC">
        <w:rPr>
          <w:rFonts w:ascii="Times New Roman" w:hAnsi="Times New Roman" w:cs="Times New Roman"/>
          <w:bCs/>
          <w:sz w:val="24"/>
          <w:szCs w:val="24"/>
        </w:rPr>
        <w:t>1700-VII.</w:t>
      </w:r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  <w:r w:rsidRPr="00541EF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Відомості Верховної Ради</w:t>
      </w:r>
      <w:r w:rsidRPr="00541E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541EFC">
        <w:rPr>
          <w:rFonts w:ascii="Times New Roman" w:hAnsi="Times New Roman" w:cs="Times New Roman"/>
          <w:i/>
          <w:sz w:val="24"/>
          <w:szCs w:val="24"/>
        </w:rPr>
        <w:t xml:space="preserve"> України (ВВР). </w:t>
      </w:r>
      <w:r w:rsidRPr="00541E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2014. № 49. ст.2056.</w:t>
      </w:r>
      <w:r w:rsidRPr="00541EFC">
        <w:rPr>
          <w:rFonts w:ascii="Times New Roman" w:hAnsi="Times New Roman" w:cs="Times New Roman"/>
          <w:sz w:val="24"/>
          <w:szCs w:val="24"/>
        </w:rPr>
        <w:t xml:space="preserve"> URL : </w:t>
      </w:r>
      <w:hyperlink r:id="rId21" w:anchor="Text" w:history="1">
        <w:r w:rsidRPr="00541EFC">
          <w:rPr>
            <w:rStyle w:val="a3"/>
            <w:rFonts w:ascii="Times New Roman" w:hAnsi="Times New Roman" w:cs="Times New Roman"/>
            <w:sz w:val="24"/>
            <w:szCs w:val="24"/>
          </w:rPr>
          <w:t>https://zakon.rada.gov.ua/laws/show/1700-18#Text</w:t>
        </w:r>
      </w:hyperlink>
      <w:r w:rsidRPr="00541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C0" w:rsidRDefault="00B117C0" w:rsidP="00B117C0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</w:pPr>
    </w:p>
    <w:p w:rsidR="00B117C0" w:rsidRPr="005324DD" w:rsidRDefault="00B117C0" w:rsidP="00B117C0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 w:rsidRPr="005324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8. Інформаційні ресурси</w:t>
      </w:r>
    </w:p>
    <w:p w:rsidR="00B117C0" w:rsidRPr="005324DD" w:rsidRDefault="00B117C0" w:rsidP="00B117C0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117C0" w:rsidRPr="0080631A" w:rsidRDefault="00B117C0" w:rsidP="00B117C0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631A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B117C0" w:rsidRPr="0080631A" w:rsidRDefault="00B117C0" w:rsidP="00B117C0">
      <w:pPr>
        <w:pStyle w:val="a4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631A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22" w:history="1">
        <w:r w:rsidRPr="0080631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8063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17C0" w:rsidRPr="0080631A" w:rsidRDefault="00B117C0" w:rsidP="00B117C0">
      <w:pPr>
        <w:pStyle w:val="a4"/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0631A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23" w:history="1">
        <w:r w:rsidRPr="0080631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8063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C0" w:rsidRPr="005324DD" w:rsidRDefault="00B117C0" w:rsidP="00B117C0">
      <w:pPr>
        <w:tabs>
          <w:tab w:val="num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117C0" w:rsidRPr="00216C2C" w:rsidRDefault="00B117C0" w:rsidP="00B117C0">
      <w:pPr>
        <w:widowControl w:val="0"/>
        <w:tabs>
          <w:tab w:val="num" w:pos="426"/>
          <w:tab w:val="left" w:pos="493"/>
        </w:tabs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931346" w:rsidRPr="00565159" w:rsidRDefault="00931346" w:rsidP="003A3505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31346" w:rsidRPr="00565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FAB"/>
    <w:multiLevelType w:val="hybridMultilevel"/>
    <w:tmpl w:val="4F060C7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65E90"/>
    <w:multiLevelType w:val="hybridMultilevel"/>
    <w:tmpl w:val="1444ECB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D31"/>
    <w:multiLevelType w:val="hybridMultilevel"/>
    <w:tmpl w:val="7846B966"/>
    <w:lvl w:ilvl="0" w:tplc="8DF8E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43D67"/>
    <w:multiLevelType w:val="hybridMultilevel"/>
    <w:tmpl w:val="B4C471EC"/>
    <w:lvl w:ilvl="0" w:tplc="DD5824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79EA"/>
    <w:multiLevelType w:val="hybridMultilevel"/>
    <w:tmpl w:val="D5AA6A3C"/>
    <w:lvl w:ilvl="0" w:tplc="0784CD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4711A"/>
    <w:multiLevelType w:val="multilevel"/>
    <w:tmpl w:val="A6FC8C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60" w:hanging="1800"/>
      </w:pPr>
      <w:rPr>
        <w:rFonts w:hint="default"/>
      </w:rPr>
    </w:lvl>
  </w:abstractNum>
  <w:abstractNum w:abstractNumId="6" w15:restartNumberingAfterBreak="0">
    <w:nsid w:val="449300F0"/>
    <w:multiLevelType w:val="hybridMultilevel"/>
    <w:tmpl w:val="BA6A196C"/>
    <w:lvl w:ilvl="0" w:tplc="8D7E970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474D2"/>
    <w:multiLevelType w:val="hybridMultilevel"/>
    <w:tmpl w:val="996AE64C"/>
    <w:lvl w:ilvl="0" w:tplc="6CFEEA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13ED"/>
    <w:multiLevelType w:val="hybridMultilevel"/>
    <w:tmpl w:val="7A92CA2A"/>
    <w:lvl w:ilvl="0" w:tplc="3ED02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7F4F34"/>
    <w:multiLevelType w:val="hybridMultilevel"/>
    <w:tmpl w:val="71D09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0B1A"/>
    <w:multiLevelType w:val="hybridMultilevel"/>
    <w:tmpl w:val="8CF03A98"/>
    <w:lvl w:ilvl="0" w:tplc="4DB801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E063D"/>
    <w:multiLevelType w:val="hybridMultilevel"/>
    <w:tmpl w:val="13B4259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73096"/>
    <w:multiLevelType w:val="hybridMultilevel"/>
    <w:tmpl w:val="3E0478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6B1D"/>
    <w:multiLevelType w:val="hybridMultilevel"/>
    <w:tmpl w:val="5DD8A7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40D7B"/>
    <w:multiLevelType w:val="hybridMultilevel"/>
    <w:tmpl w:val="9F145948"/>
    <w:lvl w:ilvl="0" w:tplc="BC72FC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2"/>
  </w:num>
  <w:num w:numId="5">
    <w:abstractNumId w:val="14"/>
  </w:num>
  <w:num w:numId="6">
    <w:abstractNumId w:val="10"/>
  </w:num>
  <w:num w:numId="7">
    <w:abstractNumId w:val="11"/>
  </w:num>
  <w:num w:numId="8">
    <w:abstractNumId w:val="3"/>
  </w:num>
  <w:num w:numId="9">
    <w:abstractNumId w:val="13"/>
  </w:num>
  <w:num w:numId="10">
    <w:abstractNumId w:val="7"/>
  </w:num>
  <w:num w:numId="11">
    <w:abstractNumId w:val="5"/>
  </w:num>
  <w:num w:numId="12">
    <w:abstractNumId w:val="2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A7"/>
    <w:rsid w:val="00251BAD"/>
    <w:rsid w:val="002F4234"/>
    <w:rsid w:val="003117E6"/>
    <w:rsid w:val="00313BBB"/>
    <w:rsid w:val="0032264A"/>
    <w:rsid w:val="003448B0"/>
    <w:rsid w:val="003923A7"/>
    <w:rsid w:val="003A3505"/>
    <w:rsid w:val="004709DA"/>
    <w:rsid w:val="00470BB7"/>
    <w:rsid w:val="004A713F"/>
    <w:rsid w:val="00506F91"/>
    <w:rsid w:val="005349DF"/>
    <w:rsid w:val="00565159"/>
    <w:rsid w:val="00577822"/>
    <w:rsid w:val="00582A9B"/>
    <w:rsid w:val="00660799"/>
    <w:rsid w:val="0067552C"/>
    <w:rsid w:val="0076178D"/>
    <w:rsid w:val="007B7FCF"/>
    <w:rsid w:val="00806761"/>
    <w:rsid w:val="008624F1"/>
    <w:rsid w:val="00893F23"/>
    <w:rsid w:val="00931346"/>
    <w:rsid w:val="00A13651"/>
    <w:rsid w:val="00AB266A"/>
    <w:rsid w:val="00AB4141"/>
    <w:rsid w:val="00B117C0"/>
    <w:rsid w:val="00BE4F53"/>
    <w:rsid w:val="00CB2D42"/>
    <w:rsid w:val="00DA16E2"/>
    <w:rsid w:val="00DC6108"/>
    <w:rsid w:val="00E65245"/>
    <w:rsid w:val="00EE0B40"/>
    <w:rsid w:val="00FC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77F6"/>
  <w15:docId w15:val="{53114027-3B6B-4E0A-B054-09FB7BA5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4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06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6F91"/>
    <w:pPr>
      <w:ind w:left="720"/>
      <w:contextualSpacing/>
    </w:pPr>
  </w:style>
  <w:style w:type="table" w:styleId="a5">
    <w:name w:val="Table Grid"/>
    <w:basedOn w:val="a1"/>
    <w:uiPriority w:val="59"/>
    <w:rsid w:val="007B7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nuir.vnu.edu.ua/bitstream/123456789/20684/3/PEBAP_konspekt.pdf" TargetMode="External"/><Relationship Id="rId13" Type="http://schemas.openxmlformats.org/officeDocument/2006/relationships/hyperlink" Target="http://www.economy.in.ua/pdf/5_2022/14.pdf" TargetMode="External"/><Relationship Id="rId18" Type="http://schemas.openxmlformats.org/officeDocument/2006/relationships/hyperlink" Target="https://lexinform.com.ua/wp-content/uploads/2018/09/Code-of-Ethics_ukr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1700-18" TargetMode="External"/><Relationship Id="rId7" Type="http://schemas.openxmlformats.org/officeDocument/2006/relationships/hyperlink" Target="https://stud.com.ua/59909/etika_ta_estetika/profesiyna_etika_i_tsinnosti_buhgalteriv_i_auditoriv" TargetMode="External"/><Relationship Id="rId12" Type="http://schemas.openxmlformats.org/officeDocument/2006/relationships/hyperlink" Target="https://modecon.mnau.edu.ua/issue/13-2019/luhova.pdf" TargetMode="External"/><Relationship Id="rId17" Type="http://schemas.openxmlformats.org/officeDocument/2006/relationships/hyperlink" Target="http://www.market-infr.od.ua/journals/2019/30_2019_ukr/85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vestplan.com.ua/pdf/23_2020/3.pdf" TargetMode="External"/><Relationship Id="rId20" Type="http://schemas.openxmlformats.org/officeDocument/2006/relationships/hyperlink" Target="https://zakon.rada.gov.ua/laws/show/996-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conom.chnu.edu.ua/kafedry-ekonomichnogo-fakultetu/kafedra-obliku-analizu-i-audytu/kolektyv-kafedry/kostash-tetyana-viktorivna" TargetMode="External"/><Relationship Id="rId11" Type="http://schemas.openxmlformats.org/officeDocument/2006/relationships/hyperlink" Target="https://echas.vnu.edu.ua/index.php/echas/article/view/72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-forum.lntu.edu.ua/index.php/ekonomichnyy_forum/article/view/215/202" TargetMode="External"/><Relationship Id="rId23" Type="http://schemas.openxmlformats.org/officeDocument/2006/relationships/hyperlink" Target="https://dntb.gov.ua/" TargetMode="External"/><Relationship Id="rId10" Type="http://schemas.openxmlformats.org/officeDocument/2006/relationships/hyperlink" Target="https://stud.com.ua/59909/etika_ta_estetika/profesiyna_etika_i_tsinnosti_buhgalteriv_i_auditoriv" TargetMode="External"/><Relationship Id="rId19" Type="http://schemas.openxmlformats.org/officeDocument/2006/relationships/hyperlink" Target="https://mof.gov.ua/storage/files/kodex_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-navigator.ks.ua/journals/2020/61_2020/35.pdf" TargetMode="External"/><Relationship Id="rId14" Type="http://schemas.openxmlformats.org/officeDocument/2006/relationships/hyperlink" Target="http://elartu.tntu.edu.ua/bitstream/lib/37511/2/GEB_2021v73n6_Nuzhna_O-Soft_skills_and_ethical_aspects_25-32.pdf" TargetMode="External"/><Relationship Id="rId22" Type="http://schemas.openxmlformats.org/officeDocument/2006/relationships/hyperlink" Target="http://www.nbu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411E-13D6-4E35-B5F9-495B3FDF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User</cp:lastModifiedBy>
  <cp:revision>14</cp:revision>
  <dcterms:created xsi:type="dcterms:W3CDTF">2022-09-17T18:26:00Z</dcterms:created>
  <dcterms:modified xsi:type="dcterms:W3CDTF">2023-03-10T10:54:00Z</dcterms:modified>
</cp:coreProperties>
</file>