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96" w:rsidRDefault="00C92221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СИЛАБУС НАВЧАЛЬНОЇ ДИСЦИПЛІНИ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3480" cy="116205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97896" w:rsidRDefault="00C92221">
      <w:pPr>
        <w:widowControl/>
        <w:ind w:right="517"/>
        <w:jc w:val="center"/>
        <w:rPr>
          <w:smallCaps/>
          <w:color w:val="632423"/>
          <w:sz w:val="40"/>
          <w:szCs w:val="40"/>
        </w:rPr>
      </w:pPr>
      <w:r>
        <w:rPr>
          <w:b/>
          <w:smallCaps/>
          <w:color w:val="632423"/>
          <w:sz w:val="40"/>
          <w:szCs w:val="40"/>
        </w:rPr>
        <w:t>«</w:t>
      </w:r>
      <w:r>
        <w:rPr>
          <w:b/>
          <w:smallCaps/>
          <w:color w:val="632423"/>
          <w:sz w:val="28"/>
          <w:szCs w:val="28"/>
        </w:rPr>
        <w:t>ОСНОВИ ЛІНГВОКУЛЬТУРОЛОГІЇ</w:t>
      </w:r>
      <w:r>
        <w:rPr>
          <w:b/>
          <w:smallCaps/>
          <w:color w:val="632423"/>
          <w:sz w:val="40"/>
          <w:szCs w:val="40"/>
        </w:rPr>
        <w:t>»</w:t>
      </w:r>
    </w:p>
    <w:p w:rsidR="00C97896" w:rsidRDefault="00C97896">
      <w:pPr>
        <w:widowControl/>
        <w:ind w:right="517"/>
        <w:jc w:val="center"/>
        <w:rPr>
          <w:color w:val="000000"/>
          <w:sz w:val="28"/>
          <w:szCs w:val="28"/>
        </w:rPr>
      </w:pPr>
    </w:p>
    <w:p w:rsidR="00C97896" w:rsidRDefault="00C92221">
      <w:pPr>
        <w:widowControl/>
        <w:ind w:right="51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Компонента освітньої програми</w:t>
      </w:r>
      <w:r>
        <w:rPr>
          <w:i/>
          <w:color w:val="000000"/>
          <w:sz w:val="28"/>
          <w:szCs w:val="28"/>
        </w:rPr>
        <w:t xml:space="preserve"> –  </w:t>
      </w:r>
      <w:r>
        <w:rPr>
          <w:b/>
          <w:i/>
          <w:color w:val="000000"/>
          <w:sz w:val="28"/>
          <w:szCs w:val="28"/>
          <w:u w:val="single"/>
        </w:rPr>
        <w:t>вибіркова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(3</w:t>
      </w:r>
      <w:bookmarkStart w:id="0" w:name="_GoBack"/>
      <w:bookmarkEnd w:id="0"/>
      <w:r>
        <w:rPr>
          <w:i/>
          <w:color w:val="000000"/>
          <w:sz w:val="28"/>
          <w:szCs w:val="28"/>
        </w:rPr>
        <w:t xml:space="preserve"> кредити</w:t>
      </w:r>
      <w:r>
        <w:rPr>
          <w:color w:val="000000"/>
          <w:sz w:val="28"/>
          <w:szCs w:val="28"/>
        </w:rPr>
        <w:t>)</w:t>
      </w:r>
    </w:p>
    <w:p w:rsidR="00C97896" w:rsidRDefault="00C97896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rPr>
          <w:b/>
          <w:color w:val="000000"/>
          <w:sz w:val="28"/>
          <w:szCs w:val="28"/>
        </w:rPr>
      </w:pPr>
    </w:p>
    <w:tbl>
      <w:tblPr>
        <w:tblStyle w:val="ae"/>
        <w:tblW w:w="95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3"/>
        <w:gridCol w:w="6098"/>
      </w:tblGrid>
      <w:tr w:rsidR="00C97896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Українська мова та література</w:t>
            </w:r>
          </w:p>
        </w:tc>
      </w:tr>
      <w:tr w:rsidR="00C97896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014.01 Середня освіта</w:t>
            </w:r>
          </w:p>
        </w:tc>
      </w:tr>
      <w:tr w:rsidR="00C97896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Освіта / Педагогіка</w:t>
            </w:r>
          </w:p>
        </w:tc>
      </w:tr>
      <w:tr w:rsidR="00C97896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Рівень вищої освіти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перший (бакалаврський)</w:t>
            </w:r>
          </w:p>
        </w:tc>
      </w:tr>
      <w:tr w:rsidR="00C97896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Мова навчання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українська </w:t>
            </w:r>
          </w:p>
        </w:tc>
      </w:tr>
      <w:tr w:rsidR="00C97896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Профайл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викладача (-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Бичкова Тетяна Сергіївна – кандидат філологічних наук, доцент кафедри історії та культури української мови </w:t>
            </w:r>
            <w:r>
              <w:rPr>
                <w:i/>
                <w:color w:val="0070C0"/>
                <w:sz w:val="28"/>
                <w:szCs w:val="28"/>
              </w:rPr>
              <w:t>(</w:t>
            </w:r>
            <w:hyperlink r:id="rId7" w:anchor="more-774">
              <w:r>
                <w:rPr>
                  <w:color w:val="0000FF"/>
                  <w:sz w:val="28"/>
                  <w:szCs w:val="28"/>
                  <w:u w:val="single"/>
                </w:rPr>
                <w:t>http://philology.chnu.edu.ua/?personnal</w:t>
              </w:r>
            </w:hyperlink>
            <w:r>
              <w:rPr>
                <w:i/>
                <w:color w:val="0070C0"/>
                <w:sz w:val="28"/>
                <w:szCs w:val="28"/>
              </w:rPr>
              <w:t>)</w:t>
            </w:r>
          </w:p>
        </w:tc>
      </w:tr>
      <w:tr w:rsidR="00C97896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Контактний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тел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+380953412714</w:t>
            </w:r>
          </w:p>
        </w:tc>
      </w:tr>
      <w:tr w:rsidR="00C97896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hyperlink r:id="rId8">
              <w:r>
                <w:rPr>
                  <w:color w:val="0000FF"/>
                  <w:sz w:val="28"/>
                  <w:szCs w:val="28"/>
                  <w:u w:val="single"/>
                </w:rPr>
                <w:t>t.bychkova@chnu.edu.ua</w:t>
              </w:r>
            </w:hyperlink>
          </w:p>
        </w:tc>
      </w:tr>
      <w:tr w:rsidR="00C97896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Сторінка курсу в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8"/>
                <w:szCs w:val="28"/>
              </w:rPr>
            </w:pPr>
            <w:hyperlink r:id="rId9">
              <w:r>
                <w:rPr>
                  <w:color w:val="0000FF"/>
                  <w:sz w:val="28"/>
                  <w:szCs w:val="28"/>
                  <w:u w:val="single"/>
                </w:rPr>
                <w:t>https://moodle.chnu.edu.ua/course/view.php?id=406</w:t>
              </w:r>
            </w:hyperlink>
          </w:p>
        </w:tc>
      </w:tr>
      <w:tr w:rsidR="00C97896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Консультації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Очні консультації за попередньою домовленістю</w:t>
            </w:r>
          </w:p>
        </w:tc>
      </w:tr>
    </w:tbl>
    <w:p w:rsidR="00C97896" w:rsidRDefault="00C97896">
      <w:pPr>
        <w:pBdr>
          <w:top w:val="nil"/>
          <w:left w:val="nil"/>
          <w:bottom w:val="nil"/>
          <w:right w:val="nil"/>
          <w:between w:val="nil"/>
        </w:pBdr>
        <w:ind w:right="517"/>
        <w:rPr>
          <w:color w:val="000000"/>
          <w:sz w:val="28"/>
          <w:szCs w:val="28"/>
        </w:rPr>
      </w:pPr>
    </w:p>
    <w:p w:rsidR="00C97896" w:rsidRDefault="00C92221">
      <w:pPr>
        <w:pStyle w:val="1"/>
        <w:ind w:left="0" w:right="517"/>
        <w:rPr>
          <w:color w:val="632423"/>
          <w:sz w:val="28"/>
          <w:szCs w:val="28"/>
        </w:rPr>
      </w:pPr>
      <w:r>
        <w:rPr>
          <w:color w:val="632423"/>
          <w:sz w:val="28"/>
          <w:szCs w:val="28"/>
        </w:rPr>
        <w:t>АНОТАЦІЯ НАВЧАЛЬНОЇ ДИСЦИПЛІНИ</w:t>
      </w:r>
    </w:p>
    <w:p w:rsidR="00C97896" w:rsidRDefault="00C9222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 системі підготовки бакалаврів із зазначеної спеціальності навчальна дисципліна «Основи </w:t>
      </w:r>
      <w:proofErr w:type="spellStart"/>
      <w:r>
        <w:rPr>
          <w:sz w:val="28"/>
          <w:szCs w:val="28"/>
        </w:rPr>
        <w:t>лінгвокультурології</w:t>
      </w:r>
      <w:proofErr w:type="spellEnd"/>
      <w:r>
        <w:rPr>
          <w:sz w:val="28"/>
          <w:szCs w:val="28"/>
        </w:rPr>
        <w:t xml:space="preserve">» як інтегративна гуманітарна дисципліна відіграє важливу роль, оскільки покликаний допомогти студентам усвідомити взаємозв’язки між мовою, людиною </w:t>
      </w:r>
      <w:r>
        <w:rPr>
          <w:sz w:val="28"/>
          <w:szCs w:val="28"/>
        </w:rPr>
        <w:t>і культурою; виявити закріплені в мові загальнолюдські та національні культурно-духовні цінності; розширити гуманітарну підготовку майбутнього фахівця. Знання навчальної дисципліни допоможе подальшому опануванню дисципліни «Загальне мовознавство».</w:t>
      </w:r>
    </w:p>
    <w:p w:rsidR="00C97896" w:rsidRDefault="00C922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Мета нав</w:t>
      </w:r>
      <w:r>
        <w:rPr>
          <w:sz w:val="28"/>
          <w:szCs w:val="28"/>
        </w:rPr>
        <w:t xml:space="preserve">чальної дисципліни: ознайомити студентів з базовими поняттями </w:t>
      </w:r>
      <w:proofErr w:type="spellStart"/>
      <w:r>
        <w:rPr>
          <w:sz w:val="28"/>
          <w:szCs w:val="28"/>
        </w:rPr>
        <w:t>лінгвокультурології</w:t>
      </w:r>
      <w:proofErr w:type="spellEnd"/>
      <w:r>
        <w:rPr>
          <w:sz w:val="28"/>
          <w:szCs w:val="28"/>
        </w:rPr>
        <w:t xml:space="preserve"> та основними проблемами </w:t>
      </w:r>
      <w:proofErr w:type="spellStart"/>
      <w:r>
        <w:rPr>
          <w:sz w:val="28"/>
          <w:szCs w:val="28"/>
        </w:rPr>
        <w:t>лінгвокультурологічних</w:t>
      </w:r>
      <w:proofErr w:type="spellEnd"/>
      <w:r>
        <w:rPr>
          <w:sz w:val="28"/>
          <w:szCs w:val="28"/>
        </w:rPr>
        <w:t xml:space="preserve"> досліджень; показати взаємозв’язок мови і культури; довести, що мова, окрім засобу спілкування, є знаряддям створення, розвитку</w:t>
      </w:r>
      <w:r>
        <w:rPr>
          <w:sz w:val="28"/>
          <w:szCs w:val="28"/>
        </w:rPr>
        <w:t xml:space="preserve"> й трансляції культури; сформувати й розвинути компетенції, пов’язані з вивченням особливостей взаємозв’язків та взаємодії культури і мови в їх історичному розвитку та функціонуванні в полікультурному просторі; застосовувати </w:t>
      </w:r>
      <w:proofErr w:type="spellStart"/>
      <w:r>
        <w:rPr>
          <w:sz w:val="28"/>
          <w:szCs w:val="28"/>
        </w:rPr>
        <w:t>лінгвокультурологічнй</w:t>
      </w:r>
      <w:proofErr w:type="spellEnd"/>
      <w:r>
        <w:rPr>
          <w:sz w:val="28"/>
          <w:szCs w:val="28"/>
        </w:rPr>
        <w:t xml:space="preserve"> підхід до</w:t>
      </w:r>
      <w:r>
        <w:rPr>
          <w:sz w:val="28"/>
          <w:szCs w:val="28"/>
        </w:rPr>
        <w:t xml:space="preserve"> аналізу </w:t>
      </w:r>
      <w:proofErr w:type="spellStart"/>
      <w:r>
        <w:rPr>
          <w:sz w:val="28"/>
          <w:szCs w:val="28"/>
        </w:rPr>
        <w:t>мовних</w:t>
      </w:r>
      <w:proofErr w:type="spellEnd"/>
      <w:r>
        <w:rPr>
          <w:sz w:val="28"/>
          <w:szCs w:val="28"/>
        </w:rPr>
        <w:t xml:space="preserve"> явищ під час викладання української мови в закладах загальної середньої освіти.</w:t>
      </w:r>
    </w:p>
    <w:p w:rsidR="00C97896" w:rsidRDefault="00C97896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5" w:lineRule="auto"/>
        <w:ind w:left="1219" w:right="517"/>
        <w:jc w:val="center"/>
        <w:rPr>
          <w:b/>
          <w:color w:val="4F81BD"/>
          <w:sz w:val="28"/>
          <w:szCs w:val="28"/>
        </w:rPr>
      </w:pPr>
    </w:p>
    <w:p w:rsidR="00C97896" w:rsidRDefault="00C92221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5" w:lineRule="auto"/>
        <w:ind w:right="517"/>
        <w:jc w:val="center"/>
        <w:rPr>
          <w:b/>
          <w:smallCaps/>
          <w:color w:val="632423"/>
          <w:sz w:val="28"/>
          <w:szCs w:val="28"/>
        </w:rPr>
      </w:pPr>
      <w:r>
        <w:rPr>
          <w:b/>
          <w:smallCaps/>
          <w:color w:val="632423"/>
          <w:sz w:val="28"/>
          <w:szCs w:val="28"/>
        </w:rPr>
        <w:t>НАВЧАЛЬНИЙ КОНТЕНТ ОСВІТНЬОЇ КОМПОНЕНТИ</w:t>
      </w:r>
    </w:p>
    <w:p w:rsidR="00C97896" w:rsidRDefault="00C97896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5" w:lineRule="auto"/>
        <w:ind w:right="517"/>
        <w:jc w:val="center"/>
        <w:rPr>
          <w:b/>
          <w:smallCaps/>
          <w:color w:val="632423"/>
          <w:sz w:val="28"/>
          <w:szCs w:val="28"/>
        </w:rPr>
      </w:pPr>
    </w:p>
    <w:tbl>
      <w:tblPr>
        <w:tblStyle w:val="af"/>
        <w:tblW w:w="962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2"/>
        <w:gridCol w:w="8417"/>
      </w:tblGrid>
      <w:tr w:rsidR="00C97896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center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>МОДУЛЬ 1. ТЕОРЕТИЧНІ АСПЕКТИ ЛІНГВОКУЛЬТУРОЛОГІЇ</w:t>
            </w:r>
          </w:p>
        </w:tc>
      </w:tr>
      <w:tr w:rsidR="00C97896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Лінгвокультурологія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як наукова та навчальна дисципліна</w:t>
            </w:r>
          </w:p>
        </w:tc>
      </w:tr>
      <w:tr w:rsidR="00C97896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Культура: підходи до вивчення. Проблеми взаємодії мови і культури</w:t>
            </w:r>
          </w:p>
        </w:tc>
      </w:tr>
      <w:tr w:rsidR="00C97896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Концепт як </w:t>
            </w:r>
            <w:proofErr w:type="spellStart"/>
            <w:r>
              <w:rPr>
                <w:color w:val="000000"/>
                <w:sz w:val="28"/>
                <w:szCs w:val="28"/>
              </w:rPr>
              <w:t>лінгвокультурологічне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поняття</w:t>
            </w:r>
          </w:p>
        </w:tc>
      </w:tr>
      <w:tr w:rsidR="00C97896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center"/>
              <w:rPr>
                <w:smallCaps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lastRenderedPageBreak/>
              <w:t>МОДУЛЬ 2. ЛІНГВОКУЛЬТУРНИЙ АНАЛІЗ МОВНИХ СУТНОСТЕЙ</w:t>
            </w:r>
          </w:p>
        </w:tc>
      </w:tr>
      <w:tr w:rsidR="00C97896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Етнічна ментальність і мова</w:t>
            </w:r>
          </w:p>
        </w:tc>
      </w:tr>
      <w:tr w:rsidR="00C97896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Національно-культурна специфіка фразеологізмів</w:t>
            </w:r>
          </w:p>
        </w:tc>
      </w:tr>
      <w:tr w:rsidR="00C97896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Символи і стереотипи у </w:t>
            </w:r>
            <w:proofErr w:type="spellStart"/>
            <w:r>
              <w:rPr>
                <w:color w:val="000000"/>
                <w:sz w:val="28"/>
                <w:szCs w:val="28"/>
              </w:rPr>
              <w:t>лінгвокультурологічному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аспекті</w:t>
            </w:r>
          </w:p>
        </w:tc>
      </w:tr>
      <w:tr w:rsidR="00C97896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Міжкультурна комунікація</w:t>
            </w:r>
          </w:p>
        </w:tc>
      </w:tr>
      <w:tr w:rsidR="00C97896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Національно-культурні особливості мовленнєвої поведінки та мовленнєвого етикету</w:t>
            </w:r>
          </w:p>
        </w:tc>
      </w:tr>
      <w:tr w:rsidR="00C97896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896" w:rsidRDefault="00C9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Лінгвокультурологічний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підхід у </w:t>
            </w:r>
            <w:proofErr w:type="spellStart"/>
            <w:r>
              <w:rPr>
                <w:color w:val="000000"/>
                <w:sz w:val="28"/>
                <w:szCs w:val="28"/>
              </w:rPr>
              <w:t>лінгводидактиці</w:t>
            </w:r>
            <w:proofErr w:type="spellEnd"/>
          </w:p>
        </w:tc>
      </w:tr>
    </w:tbl>
    <w:p w:rsidR="00C97896" w:rsidRDefault="00C92221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both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 xml:space="preserve"> </w:t>
      </w:r>
    </w:p>
    <w:p w:rsidR="00C97896" w:rsidRDefault="00C92221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ОСВІТНІ ТЕХНОЛОГІЇ, ФОРМИ ТА МЕТОДИ НАВЧАННЯ</w:t>
      </w:r>
    </w:p>
    <w:p w:rsidR="00C97896" w:rsidRDefault="00C9222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Задля досягнення програмних результатів навчання використовуємо словесні, наочні та практичні методи навчання, зокрема: лекцію, пояснення, розповідь, бесіду, роботу з книгою; ілюстрацію, вправи. Залежно від етапу навчання використовуємо методи підготовки д</w:t>
      </w:r>
      <w:r>
        <w:rPr>
          <w:color w:val="000000"/>
          <w:sz w:val="28"/>
          <w:szCs w:val="28"/>
        </w:rPr>
        <w:t>о вивчення матеріалу, які передбачають актуалізацію опорних знань та стимулюють інтерес, пізнавальну потребу; методи вивчення нового матеріалу; методи конкретизації й поглиблення знань, набуття практичних умінь і навичок; методи контролю й оцінки результат</w:t>
      </w:r>
      <w:r>
        <w:rPr>
          <w:color w:val="000000"/>
          <w:sz w:val="28"/>
          <w:szCs w:val="28"/>
        </w:rPr>
        <w:t>ів навчання. Самостійне опанування студентами навального матеріалу передбачає застосування методів організації самостійної роботи студентів. Зважаючи на ступінь складності тієї чи тієї теми, на вид заняття (лекція, практичне), на логіку навчального процесу</w:t>
      </w:r>
      <w:r>
        <w:rPr>
          <w:color w:val="000000"/>
          <w:sz w:val="28"/>
          <w:szCs w:val="28"/>
        </w:rPr>
        <w:t xml:space="preserve">, використовуємо аналітико-синтетичний та </w:t>
      </w:r>
      <w:proofErr w:type="spellStart"/>
      <w:r>
        <w:rPr>
          <w:color w:val="000000"/>
          <w:sz w:val="28"/>
          <w:szCs w:val="28"/>
        </w:rPr>
        <w:t>індуктивно</w:t>
      </w:r>
      <w:proofErr w:type="spellEnd"/>
      <w:r>
        <w:rPr>
          <w:color w:val="000000"/>
          <w:sz w:val="28"/>
          <w:szCs w:val="28"/>
        </w:rPr>
        <w:t>-дедуктивний методи, що супроводжуються також репродуктивними та проблемно-пошуковими.</w:t>
      </w:r>
    </w:p>
    <w:p w:rsidR="00C97896" w:rsidRDefault="00C97896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bookmarkStart w:id="1" w:name="_heading=h.30j0zll" w:colFirst="0" w:colLast="0"/>
      <w:bookmarkEnd w:id="1"/>
    </w:p>
    <w:p w:rsidR="00C97896" w:rsidRDefault="00C92221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ФОРМИ Й МЕТОДИ КОНТРОЛЮ ТА ОЦІНЮВАННЯ</w:t>
      </w:r>
    </w:p>
    <w:p w:rsidR="00C97896" w:rsidRDefault="00C92221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Поточний контроль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усне та письмове опитування, тестування, презентація та ін.</w:t>
      </w:r>
    </w:p>
    <w:p w:rsidR="00C97896" w:rsidRDefault="00C92221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Підсумковий  контроль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залік.</w:t>
      </w:r>
      <w:r>
        <w:rPr>
          <w:b/>
          <w:color w:val="000000"/>
          <w:sz w:val="28"/>
          <w:szCs w:val="28"/>
        </w:rPr>
        <w:t xml:space="preserve">     </w:t>
      </w:r>
    </w:p>
    <w:p w:rsidR="00C97896" w:rsidRDefault="00C97896">
      <w:pPr>
        <w:widowControl/>
        <w:pBdr>
          <w:top w:val="nil"/>
          <w:left w:val="nil"/>
          <w:bottom w:val="nil"/>
          <w:right w:val="nil"/>
          <w:between w:val="nil"/>
        </w:pBdr>
        <w:ind w:left="144" w:right="517" w:firstLine="576"/>
        <w:rPr>
          <w:b/>
          <w:color w:val="000000"/>
          <w:sz w:val="28"/>
          <w:szCs w:val="28"/>
        </w:rPr>
      </w:pPr>
    </w:p>
    <w:p w:rsidR="00C97896" w:rsidRDefault="00C92221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КРИТЕРІЇ ОЦІНЮВАННЯ РЕЗУЛЬТАТІВ НАВЧАННЯ</w:t>
      </w:r>
    </w:p>
    <w:p w:rsidR="00C97896" w:rsidRDefault="00C92221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highlight w:val="white"/>
        </w:rPr>
        <w:t>ECTS</w:t>
      </w:r>
      <w:r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ab/>
      </w:r>
    </w:p>
    <w:p w:rsidR="00C97896" w:rsidRDefault="00C92221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C97896" w:rsidRDefault="00C9789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color w:val="632423"/>
          <w:sz w:val="28"/>
          <w:szCs w:val="28"/>
        </w:rPr>
      </w:pPr>
    </w:p>
    <w:p w:rsidR="00C97896" w:rsidRDefault="00C9789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color w:val="632423"/>
          <w:sz w:val="28"/>
          <w:szCs w:val="28"/>
        </w:rPr>
      </w:pPr>
    </w:p>
    <w:p w:rsidR="00C97896" w:rsidRDefault="00C92221">
      <w:pPr>
        <w:widowControl/>
        <w:tabs>
          <w:tab w:val="left" w:pos="0"/>
        </w:tabs>
        <w:jc w:val="center"/>
        <w:rPr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ПОЛІТИКА ЩОДО АКАДЕМІЧНОЇ ДОБРОЧЕСНОСТІ</w:t>
      </w:r>
    </w:p>
    <w:p w:rsidR="00C97896" w:rsidRDefault="00C92221">
      <w:pPr>
        <w:widowControl/>
        <w:rPr>
          <w:sz w:val="28"/>
          <w:szCs w:val="28"/>
        </w:rPr>
      </w:pPr>
      <w:r>
        <w:rPr>
          <w:sz w:val="28"/>
          <w:szCs w:val="28"/>
        </w:rPr>
        <w:t>Дотримання політики щодо академічної доброчесності учасниками ос</w:t>
      </w:r>
      <w:r>
        <w:rPr>
          <w:sz w:val="28"/>
          <w:szCs w:val="28"/>
        </w:rPr>
        <w:t>вітнього процесу при вивченні навчальної дисципліни регламентовано такими документами:</w:t>
      </w:r>
    </w:p>
    <w:p w:rsidR="00C97896" w:rsidRDefault="00C92221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2" w:name="_heading=h.gjdgxs" w:colFirst="0" w:colLast="0"/>
      <w:bookmarkEnd w:id="2"/>
      <w:r>
        <w:rPr>
          <w:sz w:val="28"/>
          <w:szCs w:val="28"/>
        </w:rPr>
        <w:t xml:space="preserve">«Етичний кодекс Чернівецького національного університету імені Юрія </w:t>
      </w:r>
      <w:proofErr w:type="spellStart"/>
      <w:r>
        <w:rPr>
          <w:sz w:val="28"/>
          <w:szCs w:val="28"/>
        </w:rPr>
        <w:t>Федьковича</w:t>
      </w:r>
      <w:proofErr w:type="spellEnd"/>
      <w:r>
        <w:rPr>
          <w:sz w:val="28"/>
          <w:szCs w:val="28"/>
        </w:rPr>
        <w:t xml:space="preserve">» </w:t>
      </w:r>
      <w:hyperlink r:id="rId10">
        <w:r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:rsidR="00C97896" w:rsidRDefault="00C922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>
        <w:r>
          <w:rPr>
            <w:color w:val="0000FF"/>
            <w:sz w:val="28"/>
            <w:szCs w:val="28"/>
            <w:u w:val="single"/>
          </w:rPr>
          <w:t>https://www.chnu.edu.u</w:t>
        </w:r>
        <w:r>
          <w:rPr>
            <w:color w:val="0000FF"/>
            <w:sz w:val="28"/>
            <w:szCs w:val="28"/>
            <w:u w:val="single"/>
          </w:rPr>
          <w:t>a/media/f5eleobm/polozhennya-pro-zapobihannia-plahiatu_2024.pdf</w:t>
        </w:r>
      </w:hyperlink>
    </w:p>
    <w:p w:rsidR="00C97896" w:rsidRDefault="00C9789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C97896" w:rsidRDefault="00C9222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ІНФОРМАЦІЙНІ РЕСУРСИ</w:t>
      </w:r>
    </w:p>
    <w:p w:rsidR="00C97896" w:rsidRDefault="00C9789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i/>
          <w:color w:val="0070C0"/>
          <w:sz w:val="28"/>
          <w:szCs w:val="28"/>
        </w:rPr>
      </w:pPr>
    </w:p>
    <w:p w:rsidR="00C97896" w:rsidRDefault="00C92221">
      <w:pPr>
        <w:pBdr>
          <w:top w:val="nil"/>
          <w:left w:val="nil"/>
          <w:bottom w:val="nil"/>
          <w:right w:val="nil"/>
          <w:between w:val="nil"/>
        </w:pBdr>
        <w:ind w:left="283"/>
        <w:rPr>
          <w:color w:val="000000"/>
          <w:sz w:val="28"/>
          <w:szCs w:val="28"/>
        </w:rPr>
      </w:pPr>
      <w:hyperlink r:id="rId12">
        <w:r>
          <w:rPr>
            <w:color w:val="0000FF"/>
            <w:sz w:val="28"/>
            <w:szCs w:val="28"/>
            <w:u w:val="single"/>
          </w:rPr>
          <w:t>http://ukrlit.org/slovnyk/zhaivoronok_znaky_ukrainskoi_etnokultury</w:t>
        </w:r>
      </w:hyperlink>
    </w:p>
    <w:p w:rsidR="00C97896" w:rsidRDefault="00C92221">
      <w:pPr>
        <w:pBdr>
          <w:top w:val="nil"/>
          <w:left w:val="nil"/>
          <w:bottom w:val="nil"/>
          <w:right w:val="nil"/>
          <w:between w:val="nil"/>
        </w:pBdr>
        <w:ind w:left="283"/>
        <w:rPr>
          <w:color w:val="000000"/>
          <w:sz w:val="28"/>
          <w:szCs w:val="28"/>
        </w:rPr>
      </w:pPr>
      <w:hyperlink r:id="rId13">
        <w:r>
          <w:rPr>
            <w:color w:val="0000FF"/>
            <w:sz w:val="28"/>
            <w:szCs w:val="28"/>
            <w:u w:val="single"/>
          </w:rPr>
          <w:t>http://litopys.org.ua/ukrmova/um.htm</w:t>
        </w:r>
      </w:hyperlink>
    </w:p>
    <w:p w:rsidR="00C97896" w:rsidRDefault="00C9789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i/>
          <w:color w:val="0070C0"/>
          <w:sz w:val="28"/>
          <w:szCs w:val="28"/>
        </w:rPr>
      </w:pPr>
    </w:p>
    <w:p w:rsidR="00C97896" w:rsidRDefault="00C9222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i/>
          <w:color w:val="632423"/>
          <w:sz w:val="28"/>
          <w:szCs w:val="28"/>
        </w:rPr>
      </w:pPr>
      <w:bookmarkStart w:id="3" w:name="_heading=h.1fob9te" w:colFirst="0" w:colLast="0"/>
      <w:bookmarkEnd w:id="3"/>
      <w:r>
        <w:rPr>
          <w:b/>
          <w:i/>
          <w:color w:val="632423"/>
          <w:sz w:val="28"/>
          <w:szCs w:val="28"/>
        </w:rPr>
        <w:t xml:space="preserve">Детальна інформація щодо вивчення курсу «Основи </w:t>
      </w:r>
      <w:proofErr w:type="spellStart"/>
      <w:r>
        <w:rPr>
          <w:b/>
          <w:i/>
          <w:color w:val="632423"/>
          <w:sz w:val="28"/>
          <w:szCs w:val="28"/>
        </w:rPr>
        <w:t>лінгвокультурології</w:t>
      </w:r>
      <w:proofErr w:type="spellEnd"/>
      <w:r>
        <w:rPr>
          <w:b/>
          <w:i/>
          <w:color w:val="632423"/>
          <w:sz w:val="28"/>
          <w:szCs w:val="28"/>
        </w:rPr>
        <w:t>»</w:t>
      </w:r>
      <w:r>
        <w:rPr>
          <w:i/>
          <w:color w:val="632423"/>
          <w:sz w:val="28"/>
          <w:szCs w:val="28"/>
        </w:rPr>
        <w:t xml:space="preserve"> </w:t>
      </w:r>
      <w:r>
        <w:rPr>
          <w:b/>
          <w:i/>
          <w:color w:val="632423"/>
          <w:sz w:val="28"/>
          <w:szCs w:val="28"/>
        </w:rPr>
        <w:t xml:space="preserve">висвітлена у робочій програмі  навчальної дисципліни </w:t>
      </w:r>
    </w:p>
    <w:p w:rsidR="00C97896" w:rsidRDefault="00C9222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i/>
          <w:color w:val="000000"/>
          <w:sz w:val="28"/>
          <w:szCs w:val="28"/>
        </w:rPr>
      </w:pPr>
      <w:r>
        <w:rPr>
          <w:i/>
          <w:color w:val="0070C0"/>
          <w:sz w:val="28"/>
          <w:szCs w:val="28"/>
        </w:rPr>
        <w:t>(</w:t>
      </w:r>
      <w:r>
        <w:rPr>
          <w:i/>
          <w:color w:val="0070C0"/>
          <w:sz w:val="28"/>
          <w:szCs w:val="28"/>
          <w:u w:val="single"/>
        </w:rPr>
        <w:t>покликання на робочу програму навчальної</w:t>
      </w:r>
      <w:r>
        <w:rPr>
          <w:i/>
          <w:color w:val="0070C0"/>
          <w:sz w:val="28"/>
          <w:szCs w:val="28"/>
          <w:u w:val="single"/>
        </w:rPr>
        <w:t xml:space="preserve"> дисципліни) </w:t>
      </w:r>
    </w:p>
    <w:p w:rsidR="00C97896" w:rsidRDefault="00C97896"/>
    <w:sectPr w:rsidR="00C97896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F5C13"/>
    <w:multiLevelType w:val="multilevel"/>
    <w:tmpl w:val="F8965A56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96"/>
    <w:rsid w:val="00C92221"/>
    <w:rsid w:val="00C9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BB71F-F3FE-4FD0-AD9E-C8744726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D3DBB"/>
    <w:pPr>
      <w:autoSpaceDE w:val="0"/>
      <w:autoSpaceDN w:val="0"/>
    </w:pPr>
  </w:style>
  <w:style w:type="paragraph" w:styleId="1">
    <w:name w:val="heading 1"/>
    <w:basedOn w:val="a"/>
    <w:link w:val="10"/>
    <w:uiPriority w:val="1"/>
    <w:qFormat/>
    <w:rsid w:val="00FD3DBB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1"/>
    <w:rsid w:val="00FD3D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FD3DB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D3DB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1"/>
    <w:semiHidden/>
    <w:unhideWhenUsed/>
    <w:qFormat/>
    <w:rsid w:val="00FD3DBB"/>
    <w:pPr>
      <w:ind w:left="859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sid w:val="00FD3DB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FD3DBB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D3DBB"/>
    <w:pPr>
      <w:ind w:left="105"/>
    </w:pPr>
  </w:style>
  <w:style w:type="paragraph" w:customStyle="1" w:styleId="Default">
    <w:name w:val="Default"/>
    <w:uiPriority w:val="99"/>
    <w:rsid w:val="00FD3DBB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table" w:styleId="a9">
    <w:name w:val="Table Grid"/>
    <w:basedOn w:val="a1"/>
    <w:uiPriority w:val="39"/>
    <w:rsid w:val="00FD3DBB"/>
    <w:pPr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rsid w:val="00662C8C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1"/>
    <w:rsid w:val="00662C8C"/>
    <w:pPr>
      <w:widowControl/>
      <w:autoSpaceDE/>
      <w:autoSpaceDN/>
      <w:spacing w:after="120"/>
      <w:ind w:left="283"/>
    </w:pPr>
    <w:rPr>
      <w:sz w:val="16"/>
      <w:szCs w:val="16"/>
      <w:lang w:val="ru-RU" w:eastAsia="ru-RU"/>
    </w:rPr>
  </w:style>
  <w:style w:type="character" w:customStyle="1" w:styleId="31">
    <w:name w:val="Основной текст с отступом 3 Знак"/>
    <w:basedOn w:val="a0"/>
    <w:link w:val="30"/>
    <w:rsid w:val="00662C8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a">
    <w:name w:val="Body Text Indent"/>
    <w:basedOn w:val="a"/>
    <w:link w:val="ab"/>
    <w:rsid w:val="004E0783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4E078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A846E4"/>
    <w:rPr>
      <w:color w:val="800080" w:themeColor="followedHyperlink"/>
      <w:u w:val="singl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bychkova@chnu.edu.ua" TargetMode="External"/><Relationship Id="rId13" Type="http://schemas.openxmlformats.org/officeDocument/2006/relationships/hyperlink" Target="http://litopys.org.ua/ukrmova/um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philology.chnu.edu.ua/?personnal=%d0%b1%d0%b8%d1%87%d0%ba%d0%be%d0%b2%d0%b0-%d1%82%d0%b5%d1%82%d1%8f%d0%bd%d0%b0-%d1%81%d0%b5%d1%80%d0%b3%d1%96%d1%97%d0%b2%d0%bd%d0%b0" TargetMode="External"/><Relationship Id="rId12" Type="http://schemas.openxmlformats.org/officeDocument/2006/relationships/hyperlink" Target="http://ukrlit.org/slovnyk/zhaivoronok_znaky_ukrainskoi_etnokultu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4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smv2EKk8rZ0+rinpMaAfkVumdg==">CgMxLjAyCGguZ2pkZ3hzMgloLjMwajB6bGwyCGguZ2pkZ3hzMgloLjFmb2I5dGU4AHIhMVBDQ1BaUkwwekR0QndmQ1FnTWpoWDlfbGJSYTdzaS02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3523</Words>
  <Characters>2009</Characters>
  <Application>Microsoft Office Word</Application>
  <DocSecurity>0</DocSecurity>
  <Lines>16</Lines>
  <Paragraphs>11</Paragraphs>
  <ScaleCrop>false</ScaleCrop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Uriychuk</dc:creator>
  <cp:lastModifiedBy>user</cp:lastModifiedBy>
  <cp:revision>3</cp:revision>
  <dcterms:created xsi:type="dcterms:W3CDTF">2024-09-06T11:45:00Z</dcterms:created>
  <dcterms:modified xsi:type="dcterms:W3CDTF">2025-03-25T10:18:00Z</dcterms:modified>
</cp:coreProperties>
</file>