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6B3E4C" w:rsidRPr="00EF49CC" w:rsidRDefault="006B3E4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F49CC">
        <w:rPr>
          <w:rFonts w:ascii="Times New Roman" w:hAnsi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hAnsi="Times New Roman"/>
          <w:b/>
          <w:sz w:val="30"/>
          <w:szCs w:val="28"/>
        </w:rPr>
        <w:t>Федьковича</w:t>
      </w:r>
      <w:proofErr w:type="spellEnd"/>
    </w:p>
    <w:p w:rsidR="006B3E4C" w:rsidRDefault="006B3E4C" w:rsidP="00EF49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Hlk148438909"/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6B3E4C" w:rsidRDefault="006B3E4C" w:rsidP="00EF49C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 , назва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 Виробнича </w:t>
      </w:r>
      <w:r>
        <w:rPr>
          <w:rFonts w:ascii="Times New Roman" w:hAnsi="Times New Roman"/>
          <w:sz w:val="24"/>
          <w:szCs w:val="24"/>
          <w:u w:val="single"/>
        </w:rPr>
        <w:t xml:space="preserve">(переддипломна) 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практика, </w:t>
      </w:r>
      <w:r>
        <w:rPr>
          <w:rFonts w:ascii="Times New Roman" w:hAnsi="Times New Roman"/>
          <w:sz w:val="24"/>
          <w:szCs w:val="24"/>
          <w:u w:val="single"/>
        </w:rPr>
        <w:t>денна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 форма навчання, 2 курс ОР “Магістр”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</w:t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r w:rsidRPr="00A25E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6B3E4C" w:rsidRDefault="006B3E4C" w:rsidP="00B205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B20569" w:rsidRDefault="006B3E4C" w:rsidP="00B205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Терміни проведення</w:t>
      </w:r>
      <w:r w:rsidR="000667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 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>з «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жовтня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«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30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листопада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5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року </w:t>
      </w: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8730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Pr="00B20569">
        <w:rPr>
          <w:u w:val="single"/>
        </w:rPr>
        <w:t xml:space="preserve"> 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“Облік і оподаткування”), 3 семестр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</w:t>
      </w:r>
      <w:r w:rsidRPr="001D70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B3E4C" w:rsidRPr="00BF5EEB" w:rsidRDefault="006B3E4C" w:rsidP="00EF49C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(факультет / Н/</w:t>
      </w:r>
      <w:proofErr w:type="spellStart"/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proofErr w:type="spellEnd"/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інститут, спеціальність, освітня програма, семестр)</w:t>
      </w:r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202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5</w:t>
      </w:r>
      <w:r w:rsidR="00B36B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 / __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202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</w:t>
      </w:r>
      <w:r w:rsidRPr="00EF49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59186F" w:rsidRDefault="0059186F" w:rsidP="008730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8730CC" w:rsidRDefault="006B3E4C" w:rsidP="008730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відповідно до </w:t>
      </w:r>
      <w:r w:rsidRPr="008730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наказу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№ 14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62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-ст</w:t>
      </w:r>
      <w:r w:rsidRPr="00A404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від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07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10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.202</w:t>
      </w:r>
      <w:r w:rsidR="000667B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5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:__</w:t>
      </w:r>
      <w:r w:rsidRPr="00FC4D79">
        <w:rPr>
          <w:u w:val="single"/>
        </w:rPr>
        <w:t xml:space="preserve">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проф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есор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Ковальчук Т.М., </w:t>
      </w:r>
      <w:proofErr w:type="spellStart"/>
      <w:r w:rsidR="005918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</w:t>
      </w:r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.е.н</w:t>
      </w:r>
      <w:proofErr w:type="spellEnd"/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 w:rsidR="005918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ент Вергун А.І.,</w:t>
      </w:r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доц</w:t>
      </w:r>
      <w:r w:rsidR="005918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18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Кузь В.І., </w:t>
      </w:r>
      <w:proofErr w:type="spellStart"/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 w:rsidR="0059186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="0059186F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Т.В., </w:t>
      </w:r>
      <w:proofErr w:type="spellStart"/>
      <w:r w:rsidR="00B36BDA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B36BDA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 w:rsidR="00B36B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proofErr w:type="spellStart"/>
      <w:r w:rsidR="00B36B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Никифорак</w:t>
      </w:r>
      <w:proofErr w:type="spellEnd"/>
      <w:r w:rsidR="00B36BD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І.І., </w:t>
      </w:r>
      <w:proofErr w:type="spellStart"/>
      <w:r w:rsidR="00B36BDA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B36BDA"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2B0EDF" w:rsidRPr="002B0ED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доц</w:t>
      </w:r>
      <w:r w:rsidR="002B0ED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ент</w:t>
      </w:r>
      <w:r w:rsidR="002B0EDF" w:rsidRPr="002B0ED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Михалків А.А.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3E4C" w:rsidRDefault="006B3E4C" w:rsidP="002052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20520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4206E" w:rsidRPr="0094206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закріплення та розвиток набутих здобувачами під час теоретичного навчання знан</w:t>
      </w:r>
      <w:r w:rsidR="0094206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ь і </w:t>
      </w:r>
      <w:proofErr w:type="spellStart"/>
      <w:r w:rsidR="0094206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компетентностей</w:t>
      </w:r>
      <w:proofErr w:type="spellEnd"/>
      <w:r w:rsidR="0094206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, формування</w:t>
      </w:r>
      <w:r w:rsidR="0094206E" w:rsidRPr="0094206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професійних умінь і навичок необхідних для розв’язання складних завдань і проблем у сфері професійної діяльності, для прийняття самостійних рішень під час конкретної роботи в реальних практичних умовах у сфері обліку, оподаткування, аналізу, аудиту; розвиток навичок самостійної науково-дослідної роботи та творчого застосування отриманих знань у практичній діяльності; розробка оригінальних наукових пропозицій та ідей, які використовуються при підготовці кваліфікаційної роботи та виховання потреби систематично оновлювати свої знання.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5C56CF" w:rsidRDefault="006B3E4C" w:rsidP="005C56CF">
      <w:pPr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hAnsi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</w:t>
      </w:r>
      <w:r w:rsidRPr="001A4789">
        <w:rPr>
          <w:sz w:val="24"/>
          <w:szCs w:val="24"/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ТОВ «ГАЛС-2000» , м. Чернівці;  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ТзОВ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 xml:space="preserve"> БФ «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Чернівціжитлобуд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>» м. Чернівці;</w:t>
      </w:r>
      <w:r w:rsidRPr="001A478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ТДВ «Чернівецький хімічний завод»</w:t>
      </w:r>
      <w:r w:rsidRPr="001A4789">
        <w:rPr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м. Чернівці;</w:t>
      </w:r>
      <w:r w:rsidR="002A1656" w:rsidRPr="002A1656">
        <w:rPr>
          <w:u w:val="single"/>
        </w:rPr>
        <w:t xml:space="preserve"> </w:t>
      </w:r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ТОВ «Євро </w:t>
      </w:r>
      <w:proofErr w:type="spellStart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Віндоус</w:t>
      </w:r>
      <w:proofErr w:type="spellEnd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», м. Чернівці</w:t>
      </w:r>
      <w:r w:rsid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;</w:t>
      </w:r>
      <w:r w:rsidR="002A1656" w:rsidRPr="002A1656">
        <w:t xml:space="preserve"> </w:t>
      </w:r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Біллербек</w:t>
      </w:r>
      <w:proofErr w:type="spellEnd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Україна перо-пухова фабрика», Тернопільська область, м. Чортків</w:t>
      </w:r>
      <w:r w:rsid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;</w:t>
      </w:r>
      <w:r w:rsidR="002A1656" w:rsidRPr="002A1656">
        <w:t xml:space="preserve"> </w:t>
      </w:r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Приватне орендне підприє</w:t>
      </w:r>
      <w:r w:rsidR="007D385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мство «</w:t>
      </w:r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ЗОЛОТА НИВА» Тернопільська область,  </w:t>
      </w:r>
      <w:proofErr w:type="spellStart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Чортківський</w:t>
      </w:r>
      <w:proofErr w:type="spellEnd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р-н, с</w:t>
      </w:r>
      <w:r w:rsid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2A1656" w:rsidRP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Буряківка</w:t>
      </w:r>
      <w:proofErr w:type="spellEnd"/>
      <w:r w:rsidR="002A165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 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Роз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4043"/>
        <w:gridCol w:w="5777"/>
      </w:tblGrid>
      <w:tr w:rsidR="006B3E4C" w:rsidRPr="0046612F" w:rsidTr="009C7BCB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40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2772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Підприємство</w:t>
            </w:r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. професор Ковальчук Т.М</w:t>
            </w:r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0" w:type="pct"/>
          </w:tcPr>
          <w:p w:rsidR="000B6C7C" w:rsidRPr="000A2703" w:rsidRDefault="000B6C7C" w:rsidP="009C7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A2703">
              <w:rPr>
                <w:rFonts w:ascii="Times New Roman" w:hAnsi="Times New Roman"/>
                <w:sz w:val="27"/>
                <w:szCs w:val="27"/>
              </w:rPr>
              <w:t>Леонтій Уляна Степанівна</w:t>
            </w:r>
          </w:p>
        </w:tc>
        <w:tc>
          <w:tcPr>
            <w:tcW w:w="2772" w:type="pct"/>
            <w:vAlign w:val="bottom"/>
          </w:tcPr>
          <w:p w:rsidR="000B6C7C" w:rsidRPr="0046612F" w:rsidRDefault="000B6C7C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ТДВ «Чернівецький хімзавод» , </w:t>
            </w: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м.Чернівці</w:t>
            </w:r>
            <w:proofErr w:type="spellEnd"/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0" w:type="pct"/>
          </w:tcPr>
          <w:p w:rsidR="000B6C7C" w:rsidRPr="000A2703" w:rsidRDefault="000B6C7C" w:rsidP="009C7BCB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/>
                <w:sz w:val="27"/>
                <w:szCs w:val="27"/>
              </w:rPr>
              <w:t>Малярчук</w:t>
            </w:r>
            <w:proofErr w:type="spellEnd"/>
            <w:r w:rsidRPr="000A27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A2703">
              <w:rPr>
                <w:rFonts w:ascii="Times New Roman" w:hAnsi="Times New Roman"/>
                <w:sz w:val="27"/>
                <w:szCs w:val="27"/>
              </w:rPr>
              <w:t>Каріна</w:t>
            </w:r>
            <w:proofErr w:type="spellEnd"/>
            <w:r w:rsidRPr="000A2703">
              <w:rPr>
                <w:rFonts w:ascii="Times New Roman" w:hAnsi="Times New Roman"/>
                <w:sz w:val="27"/>
                <w:szCs w:val="27"/>
              </w:rPr>
              <w:t xml:space="preserve"> Миколаївна</w:t>
            </w:r>
          </w:p>
        </w:tc>
        <w:tc>
          <w:tcPr>
            <w:tcW w:w="2772" w:type="pct"/>
          </w:tcPr>
          <w:p w:rsidR="000B6C7C" w:rsidRPr="0046612F" w:rsidRDefault="009C7BCB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ТДВ «Чернівецький хімзавод» , </w:t>
            </w: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м.Чернівці</w:t>
            </w:r>
            <w:proofErr w:type="spellEnd"/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40" w:type="pct"/>
          </w:tcPr>
          <w:p w:rsidR="000B6C7C" w:rsidRPr="000A2703" w:rsidRDefault="000B6C7C" w:rsidP="009C7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A2703">
              <w:rPr>
                <w:rFonts w:ascii="Times New Roman" w:hAnsi="Times New Roman"/>
                <w:sz w:val="27"/>
                <w:szCs w:val="27"/>
              </w:rPr>
              <w:t>Верещако Поліна Олександрівна</w:t>
            </w:r>
          </w:p>
        </w:tc>
        <w:tc>
          <w:tcPr>
            <w:tcW w:w="2772" w:type="pct"/>
          </w:tcPr>
          <w:p w:rsidR="000B6C7C" w:rsidRPr="0046612F" w:rsidRDefault="009C7BCB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ТДВ «Чернівецький хімзавод» , </w:t>
            </w: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м.Чернівці</w:t>
            </w:r>
            <w:proofErr w:type="spellEnd"/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0" w:type="pct"/>
          </w:tcPr>
          <w:p w:rsidR="000B6C7C" w:rsidRPr="000A2703" w:rsidRDefault="000B6C7C" w:rsidP="009C7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/>
                <w:sz w:val="27"/>
                <w:szCs w:val="27"/>
              </w:rPr>
              <w:t>Штефюк</w:t>
            </w:r>
            <w:proofErr w:type="spellEnd"/>
            <w:r w:rsidRPr="000A2703">
              <w:rPr>
                <w:rFonts w:ascii="Times New Roman" w:hAnsi="Times New Roman"/>
                <w:sz w:val="27"/>
                <w:szCs w:val="27"/>
              </w:rPr>
              <w:t xml:space="preserve"> Олександра Іванівна</w:t>
            </w:r>
          </w:p>
        </w:tc>
        <w:tc>
          <w:tcPr>
            <w:tcW w:w="2772" w:type="pct"/>
            <w:vAlign w:val="bottom"/>
          </w:tcPr>
          <w:p w:rsidR="000B6C7C" w:rsidRPr="0046612F" w:rsidRDefault="000B6C7C" w:rsidP="009C7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BB5808" w:rsidRPr="0046612F" w:rsidTr="00BB5808">
        <w:tc>
          <w:tcPr>
            <w:tcW w:w="5000" w:type="pct"/>
            <w:gridSpan w:val="3"/>
          </w:tcPr>
          <w:p w:rsidR="00BB5808" w:rsidRPr="0046612F" w:rsidRDefault="00BB5808" w:rsidP="00BB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. доцент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Вергун А.І.</w:t>
            </w:r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40" w:type="pct"/>
          </w:tcPr>
          <w:p w:rsidR="000B6C7C" w:rsidRPr="0046612F" w:rsidRDefault="00BB5808" w:rsidP="009C7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5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Ткачук Катерина Русланівна</w:t>
            </w:r>
          </w:p>
        </w:tc>
        <w:tc>
          <w:tcPr>
            <w:tcW w:w="2772" w:type="pct"/>
          </w:tcPr>
          <w:p w:rsidR="000B6C7C" w:rsidRPr="00BB5808" w:rsidRDefault="00BB5808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808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BB5808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BB5808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BB5808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F1400B" w:rsidRPr="0046612F" w:rsidTr="00F1400B">
        <w:tc>
          <w:tcPr>
            <w:tcW w:w="5000" w:type="pct"/>
            <w:gridSpan w:val="3"/>
          </w:tcPr>
          <w:p w:rsidR="00F1400B" w:rsidRPr="00BB5808" w:rsidRDefault="00F1400B" w:rsidP="00F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. доцент Кузь В.І.</w:t>
            </w:r>
          </w:p>
        </w:tc>
      </w:tr>
      <w:tr w:rsidR="00F1400B" w:rsidRPr="0046612F" w:rsidTr="009C7BCB">
        <w:tc>
          <w:tcPr>
            <w:tcW w:w="288" w:type="pct"/>
          </w:tcPr>
          <w:p w:rsidR="00F1400B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40" w:type="pct"/>
          </w:tcPr>
          <w:p w:rsidR="00F1400B" w:rsidRPr="00BB5808" w:rsidRDefault="00F1400B" w:rsidP="00F140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Білик Ірина Іванівна</w:t>
            </w:r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ab/>
            </w:r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2772" w:type="pct"/>
          </w:tcPr>
          <w:p w:rsidR="00F1400B" w:rsidRPr="00BB5808" w:rsidRDefault="00F1400B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ТзОВ</w:t>
            </w:r>
            <w:proofErr w:type="spellEnd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БФ «</w:t>
            </w:r>
            <w:proofErr w:type="spellStart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Чернівціжитлобуд</w:t>
            </w:r>
            <w:proofErr w:type="spellEnd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», м. Чернівці</w:t>
            </w:r>
          </w:p>
        </w:tc>
      </w:tr>
      <w:tr w:rsidR="00F1400B" w:rsidRPr="0046612F" w:rsidTr="009C7BCB">
        <w:tc>
          <w:tcPr>
            <w:tcW w:w="288" w:type="pct"/>
          </w:tcPr>
          <w:p w:rsidR="00F1400B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40" w:type="pct"/>
          </w:tcPr>
          <w:p w:rsidR="00F1400B" w:rsidRPr="00BB5808" w:rsidRDefault="00F1400B" w:rsidP="009C7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Скрипнікова</w:t>
            </w:r>
            <w:proofErr w:type="spellEnd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Олена Вікторівна</w:t>
            </w:r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2772" w:type="pct"/>
          </w:tcPr>
          <w:p w:rsidR="00F1400B" w:rsidRPr="00BB5808" w:rsidRDefault="00F1400B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ТОВ «Євро </w:t>
            </w:r>
            <w:proofErr w:type="spellStart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Віндоус</w:t>
            </w:r>
            <w:proofErr w:type="spellEnd"/>
            <w:r w:rsidRPr="00F140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», м. Чернівці</w:t>
            </w:r>
          </w:p>
        </w:tc>
      </w:tr>
      <w:tr w:rsidR="000B6C7C" w:rsidRPr="0046612F" w:rsidTr="0046612F">
        <w:tc>
          <w:tcPr>
            <w:tcW w:w="5000" w:type="pct"/>
            <w:gridSpan w:val="3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Т.В.</w:t>
            </w:r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0" w:type="pct"/>
          </w:tcPr>
          <w:p w:rsidR="000B6C7C" w:rsidRPr="0046612F" w:rsidRDefault="00BB5808" w:rsidP="009C7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5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Костенюк</w:t>
            </w:r>
            <w:proofErr w:type="spellEnd"/>
            <w:r w:rsidRPr="00BB5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 Васильович</w:t>
            </w:r>
          </w:p>
        </w:tc>
        <w:tc>
          <w:tcPr>
            <w:tcW w:w="2772" w:type="pct"/>
          </w:tcPr>
          <w:p w:rsidR="000B6C7C" w:rsidRPr="00BB5808" w:rsidRDefault="000B6C7C" w:rsidP="009C7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 «ГАЛС-2000» , м. Чернівці</w:t>
            </w:r>
          </w:p>
        </w:tc>
      </w:tr>
      <w:tr w:rsidR="000B6C7C" w:rsidRPr="0046612F" w:rsidTr="0046612F">
        <w:tc>
          <w:tcPr>
            <w:tcW w:w="5000" w:type="pct"/>
            <w:gridSpan w:val="3"/>
          </w:tcPr>
          <w:p w:rsidR="000B6C7C" w:rsidRPr="0046612F" w:rsidRDefault="000B6C7C" w:rsidP="009C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Никифорак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І.І.</w:t>
            </w:r>
          </w:p>
        </w:tc>
      </w:tr>
      <w:tr w:rsidR="000B6C7C" w:rsidRPr="0046612F" w:rsidTr="009C7BCB">
        <w:tc>
          <w:tcPr>
            <w:tcW w:w="288" w:type="pct"/>
          </w:tcPr>
          <w:p w:rsidR="000B6C7C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40" w:type="pct"/>
          </w:tcPr>
          <w:p w:rsidR="000B6C7C" w:rsidRPr="0046612F" w:rsidRDefault="00BB5808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808">
              <w:rPr>
                <w:rFonts w:ascii="Times New Roman" w:hAnsi="Times New Roman"/>
                <w:sz w:val="24"/>
                <w:szCs w:val="24"/>
              </w:rPr>
              <w:t>Чекурлан</w:t>
            </w:r>
            <w:proofErr w:type="spellEnd"/>
            <w:r w:rsidRPr="00BB5808">
              <w:rPr>
                <w:rFonts w:ascii="Times New Roman" w:hAnsi="Times New Roman"/>
                <w:sz w:val="24"/>
                <w:szCs w:val="24"/>
              </w:rPr>
              <w:t xml:space="preserve"> Софія Вікторівна</w:t>
            </w:r>
          </w:p>
        </w:tc>
        <w:tc>
          <w:tcPr>
            <w:tcW w:w="2772" w:type="pct"/>
          </w:tcPr>
          <w:p w:rsidR="000B6C7C" w:rsidRPr="0046612F" w:rsidRDefault="00BB5808" w:rsidP="009C7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808">
              <w:rPr>
                <w:rFonts w:ascii="Times New Roman" w:hAnsi="Times New Roman"/>
                <w:sz w:val="24"/>
                <w:szCs w:val="24"/>
              </w:rPr>
              <w:t>ТОВ «</w:t>
            </w:r>
            <w:proofErr w:type="spellStart"/>
            <w:r w:rsidRPr="00BB5808">
              <w:rPr>
                <w:rFonts w:ascii="Times New Roman" w:hAnsi="Times New Roman"/>
                <w:sz w:val="24"/>
                <w:szCs w:val="24"/>
              </w:rPr>
              <w:t>Біллербек</w:t>
            </w:r>
            <w:proofErr w:type="spellEnd"/>
            <w:r w:rsidRPr="00BB5808">
              <w:rPr>
                <w:rFonts w:ascii="Times New Roman" w:hAnsi="Times New Roman"/>
                <w:sz w:val="24"/>
                <w:szCs w:val="24"/>
              </w:rPr>
              <w:t xml:space="preserve"> Україна перо-пухова фабрика», Тернопільська область, м. Чортків</w:t>
            </w:r>
          </w:p>
        </w:tc>
      </w:tr>
      <w:tr w:rsidR="000B6C7C" w:rsidRPr="0046612F" w:rsidTr="0046612F">
        <w:tc>
          <w:tcPr>
            <w:tcW w:w="5000" w:type="pct"/>
            <w:gridSpan w:val="3"/>
          </w:tcPr>
          <w:p w:rsidR="000B6C7C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Михалків А.А.</w:t>
            </w:r>
          </w:p>
        </w:tc>
      </w:tr>
      <w:tr w:rsidR="00F1400B" w:rsidRPr="0046612F" w:rsidTr="00441469">
        <w:tc>
          <w:tcPr>
            <w:tcW w:w="288" w:type="pct"/>
          </w:tcPr>
          <w:p w:rsidR="00F1400B" w:rsidRPr="0046612F" w:rsidRDefault="00F1400B" w:rsidP="009C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0" w:type="pct"/>
          </w:tcPr>
          <w:p w:rsidR="00F1400B" w:rsidRPr="00F1400B" w:rsidRDefault="00F1400B" w:rsidP="00F140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Ожга</w:t>
            </w:r>
            <w:proofErr w:type="spellEnd"/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Роман Ярославович</w:t>
            </w:r>
          </w:p>
        </w:tc>
        <w:tc>
          <w:tcPr>
            <w:tcW w:w="2772" w:type="pct"/>
          </w:tcPr>
          <w:p w:rsidR="00F1400B" w:rsidRPr="00F1400B" w:rsidRDefault="00F1400B" w:rsidP="00F14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Приватне орендне підприємство </w:t>
            </w:r>
            <w:r w:rsidR="007D38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ЗОЛОТА НИВА»</w:t>
            </w:r>
            <w:r w:rsidRPr="00F1400B">
              <w:rPr>
                <w:sz w:val="24"/>
                <w:szCs w:val="24"/>
              </w:rPr>
              <w:t xml:space="preserve"> </w:t>
            </w:r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Тернопільська область,  </w:t>
            </w:r>
            <w:proofErr w:type="spellStart"/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Чортківський</w:t>
            </w:r>
            <w:proofErr w:type="spellEnd"/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  <w:r w:rsidRPr="00F14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Буряківка</w:t>
            </w:r>
            <w:proofErr w:type="spellEnd"/>
          </w:p>
        </w:tc>
      </w:tr>
    </w:tbl>
    <w:p w:rsidR="00F1400B" w:rsidRDefault="00F1400B" w:rsidP="00EF49CC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6B3E4C" w:rsidRPr="001A4789" w:rsidRDefault="006B3E4C" w:rsidP="00EA72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Виробнича (переддипломна)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звіту, підготовка виступу.</w:t>
      </w:r>
    </w:p>
    <w:p w:rsidR="006B3E4C" w:rsidRPr="00EF49CC" w:rsidRDefault="006B3E4C" w:rsidP="00EF49CC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6B3E4C" w:rsidRPr="00EF49CC" w:rsidRDefault="006B3E4C" w:rsidP="00EF49CC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6B3E4C" w:rsidRPr="004C23DA" w:rsidRDefault="006B3E4C" w:rsidP="00D0736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1. Вміння виявляти, ставити та вирішувати проблеми.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3. Навички використання інформаційних і комунікаційних технологій.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4. Здатність проведення досліджень на відповідному рівні.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5. Здатність генерувати нові ідеї (креативність).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6. Здатність до пошуку, оброблення та аналізу інформації з різних джерел.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8. Здатність спілкуватися з представниками інших професійних груп різного рівня (з експертами з інших галузей знань/ видів економічної діяльності).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9. Цінування та повага різноманітності та мультикультурності.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10. Здатність діяти на основі етичних міркувань (мотивів).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 11. Здатність оцінювати та забезпечувати якість виконуваних робіт.</w:t>
      </w:r>
    </w:p>
    <w:p w:rsidR="006B3E4C" w:rsidRPr="004C23DA" w:rsidRDefault="006B3E4C" w:rsidP="004C23DA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1.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2.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4. Здатність формувати фінансову звітність за міжнародними стандартами, коректно інтерпретувати, оприлюднювати й використовувати відповідну інформацію для прийняття управлінських рішень.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6. Використовувати міжнародні стандарти контролю якості, аудиту, огляду, іншого надання впевненості та супутніх послуг з дотриманням вимог професійної етики в процесі практичної діяльності.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ФК 7. Здатність формулювати завдання, удосконалювати методики та впроваджувати сучасні методи фінансового та управлінського обліку, ан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алізу, аудиту і оподаткування у </w:t>
      </w: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відповідності зі стратегічними цілями підприємства.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8. Здатність виконувати адміністративно-управлінські функції у сфері діяльності суб’єктів господарювання, органів державного сектору.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9. Здатність здійснювати діяльність з консультування власників, менеджменту підприємства та інших користувачів інформації у сфері обліку, аналізу, контролю, аудиту, оподаткування.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 10. Здатність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оподаткування.</w:t>
      </w:r>
    </w:p>
    <w:p w:rsidR="00D92A46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ФК 11. </w:t>
      </w:r>
      <w:r w:rsidR="00D92A46" w:rsidRPr="00D92A4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Здатність творчо застосовувати методичний інструментарій економічного аналізу для обґрунтування рішень в управлінні операційною, фінансовою та інвестиційною діяльністю</w:t>
      </w:r>
      <w:r w:rsidR="00D92A4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6B3E4C" w:rsidRPr="004F6750" w:rsidRDefault="006B3E4C" w:rsidP="00EF49CC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B3E4C" w:rsidRDefault="006B3E4C" w:rsidP="00CD6BA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Трудова дисципліна,</w:t>
      </w: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дотримання правил із охорони праці та безпеки життєдіяльності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6B3E4C" w:rsidRPr="004F6750" w:rsidRDefault="006B3E4C" w:rsidP="00EF49CC">
      <w:pPr>
        <w:spacing w:after="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Зауваження: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19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</w:t>
      </w:r>
      <w:r w:rsidRPr="007719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3E4C" w:rsidRPr="004F6750" w:rsidRDefault="006B3E4C" w:rsidP="00ED72DD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ED72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72D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здобувача</w:t>
      </w:r>
      <w:r w:rsidRPr="00ED72D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Результати практики: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29"/>
        <w:gridCol w:w="1167"/>
        <w:gridCol w:w="1463"/>
        <w:gridCol w:w="721"/>
        <w:gridCol w:w="723"/>
        <w:gridCol w:w="721"/>
        <w:gridCol w:w="871"/>
        <w:gridCol w:w="940"/>
        <w:gridCol w:w="800"/>
        <w:gridCol w:w="946"/>
        <w:gridCol w:w="840"/>
      </w:tblGrid>
      <w:tr w:rsidR="006B3E4C" w:rsidRPr="0046612F" w:rsidTr="00052956"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2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hAnsi="Times New Roman"/>
                <w:color w:val="000000"/>
                <w:lang w:eastAsia="ru-RU"/>
              </w:rPr>
              <w:t>Успіш</w:t>
            </w:r>
            <w:proofErr w:type="spellEnd"/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F49CC">
              <w:rPr>
                <w:rFonts w:ascii="Times New Roman" w:hAnsi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lang w:eastAsia="ru-RU"/>
              </w:rPr>
              <w:t>Якість</w:t>
            </w:r>
          </w:p>
        </w:tc>
      </w:tr>
      <w:tr w:rsidR="006B3E4C" w:rsidRPr="0046612F" w:rsidTr="00052956"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B3E4C" w:rsidRPr="0046612F" w:rsidTr="00052956">
        <w:trPr>
          <w:trHeight w:val="278"/>
        </w:trPr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F49CC">
              <w:rPr>
                <w:rFonts w:ascii="Times New Roman" w:hAnsi="Times New Roman"/>
                <w:lang w:eastAsia="ru-RU"/>
              </w:rPr>
              <w:t>«задовільно»</w:t>
            </w:r>
          </w:p>
        </w:tc>
        <w:tc>
          <w:tcPr>
            <w:tcW w:w="8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052956">
        <w:trPr>
          <w:trHeight w:val="277"/>
        </w:trPr>
        <w:tc>
          <w:tcPr>
            <w:tcW w:w="5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052956">
        <w:trPr>
          <w:trHeight w:val="277"/>
        </w:trPr>
        <w:tc>
          <w:tcPr>
            <w:tcW w:w="58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6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76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8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052956">
        <w:trPr>
          <w:trHeight w:val="277"/>
        </w:trPr>
        <w:tc>
          <w:tcPr>
            <w:tcW w:w="5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8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052956"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25CD3" w:rsidRPr="0046612F" w:rsidTr="00052956"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950A93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захист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Default="00C25CD3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Pr="002C4C18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Default="00052956" w:rsidP="00B64D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D3" w:rsidRDefault="00052956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6B3E4C" w:rsidRPr="004F6750" w:rsidRDefault="006B3E4C" w:rsidP="006143F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614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Висновки:</w:t>
      </w:r>
      <w:r w:rsidRPr="006143FE">
        <w:t xml:space="preserve"> </w:t>
      </w:r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bookmarkStart w:id="1" w:name="_GoBack"/>
      <w:r w:rsidR="000D45B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проходження </w:t>
      </w:r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виробничої </w:t>
      </w:r>
      <w:r w:rsidR="000D45B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(переддипломної) </w:t>
      </w:r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практики </w:t>
      </w:r>
      <w:bookmarkEnd w:id="1"/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студенти оволоділи необхідними </w:t>
      </w:r>
      <w:proofErr w:type="spellStart"/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D45B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та успішно захистили практику.</w:t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D45BB" w:rsidRDefault="000D45BB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«</w:t>
      </w:r>
      <w:r w:rsid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8285B"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03</w:t>
      </w:r>
      <w:r w:rsid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</w:t>
      </w:r>
      <w:r w:rsidRPr="003F40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8285B"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грудня</w:t>
      </w:r>
      <w:r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 w:rsidR="0078285B"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5</w:t>
      </w:r>
      <w:r w:rsidRPr="0078285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Тетяна КОВАЛЬЧУК</w:t>
      </w:r>
    </w:p>
    <w:p w:rsidR="006B3E4C" w:rsidRPr="004F6750" w:rsidRDefault="006B3E4C" w:rsidP="004F67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(дата)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(підпис)</w:t>
      </w:r>
    </w:p>
    <w:sectPr w:rsidR="006B3E4C" w:rsidRPr="004F6750" w:rsidSect="002C4C18">
      <w:pgSz w:w="11906" w:h="16838"/>
      <w:pgMar w:top="851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9CC"/>
    <w:rsid w:val="00052956"/>
    <w:rsid w:val="000667B4"/>
    <w:rsid w:val="000734A4"/>
    <w:rsid w:val="000B6C7C"/>
    <w:rsid w:val="000D3B3E"/>
    <w:rsid w:val="000D45BB"/>
    <w:rsid w:val="00121564"/>
    <w:rsid w:val="00121883"/>
    <w:rsid w:val="00170244"/>
    <w:rsid w:val="001852F3"/>
    <w:rsid w:val="001A3208"/>
    <w:rsid w:val="001A4789"/>
    <w:rsid w:val="001D7001"/>
    <w:rsid w:val="001F4DD9"/>
    <w:rsid w:val="00200E68"/>
    <w:rsid w:val="00205208"/>
    <w:rsid w:val="00216D7F"/>
    <w:rsid w:val="00260E95"/>
    <w:rsid w:val="002A1656"/>
    <w:rsid w:val="002B0EDF"/>
    <w:rsid w:val="002C4C18"/>
    <w:rsid w:val="00321D29"/>
    <w:rsid w:val="00340D86"/>
    <w:rsid w:val="003F4079"/>
    <w:rsid w:val="00452CDF"/>
    <w:rsid w:val="0046612F"/>
    <w:rsid w:val="004B682E"/>
    <w:rsid w:val="004C23DA"/>
    <w:rsid w:val="004C4129"/>
    <w:rsid w:val="004F6750"/>
    <w:rsid w:val="00557BF7"/>
    <w:rsid w:val="00562E2B"/>
    <w:rsid w:val="0059186F"/>
    <w:rsid w:val="005C56CF"/>
    <w:rsid w:val="005E74A4"/>
    <w:rsid w:val="00605527"/>
    <w:rsid w:val="006143FE"/>
    <w:rsid w:val="006B3E4C"/>
    <w:rsid w:val="00771919"/>
    <w:rsid w:val="0078285B"/>
    <w:rsid w:val="00785973"/>
    <w:rsid w:val="007A358E"/>
    <w:rsid w:val="007C5D7B"/>
    <w:rsid w:val="007D3852"/>
    <w:rsid w:val="0085146C"/>
    <w:rsid w:val="008601F8"/>
    <w:rsid w:val="008626D8"/>
    <w:rsid w:val="008730CC"/>
    <w:rsid w:val="00921070"/>
    <w:rsid w:val="00936EC3"/>
    <w:rsid w:val="0094206E"/>
    <w:rsid w:val="00950A93"/>
    <w:rsid w:val="009B43EB"/>
    <w:rsid w:val="009B5638"/>
    <w:rsid w:val="009B795F"/>
    <w:rsid w:val="009C7BCB"/>
    <w:rsid w:val="00A11C19"/>
    <w:rsid w:val="00A25EE7"/>
    <w:rsid w:val="00A40422"/>
    <w:rsid w:val="00A467C6"/>
    <w:rsid w:val="00AA0219"/>
    <w:rsid w:val="00B043BE"/>
    <w:rsid w:val="00B20569"/>
    <w:rsid w:val="00B36BDA"/>
    <w:rsid w:val="00B40061"/>
    <w:rsid w:val="00B57FD1"/>
    <w:rsid w:val="00B64D01"/>
    <w:rsid w:val="00BB5808"/>
    <w:rsid w:val="00BE1507"/>
    <w:rsid w:val="00BF5EEB"/>
    <w:rsid w:val="00C25CD3"/>
    <w:rsid w:val="00C92578"/>
    <w:rsid w:val="00CC579B"/>
    <w:rsid w:val="00CD6BA1"/>
    <w:rsid w:val="00D0736E"/>
    <w:rsid w:val="00D92A46"/>
    <w:rsid w:val="00DD33A4"/>
    <w:rsid w:val="00DF511B"/>
    <w:rsid w:val="00E50210"/>
    <w:rsid w:val="00E9406B"/>
    <w:rsid w:val="00EA72B2"/>
    <w:rsid w:val="00ED72DD"/>
    <w:rsid w:val="00EF49CC"/>
    <w:rsid w:val="00F1400B"/>
    <w:rsid w:val="00F41936"/>
    <w:rsid w:val="00F82DD0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5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5013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24</cp:revision>
  <dcterms:created xsi:type="dcterms:W3CDTF">2023-12-11T16:02:00Z</dcterms:created>
  <dcterms:modified xsi:type="dcterms:W3CDTF">2025-12-08T11:00:00Z</dcterms:modified>
</cp:coreProperties>
</file>