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83"/>
        <w:gridCol w:w="7655"/>
      </w:tblGrid>
      <w:tr w14:paraId="6F1B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restart"/>
            <w:vAlign w:val="center"/>
          </w:tcPr>
          <w:p w14:paraId="7BC44C25">
            <w:pPr>
              <w:widowControl w:val="0"/>
              <w:spacing w:after="0" w:line="240" w:lineRule="auto"/>
              <w:rPr>
                <w:rFonts w:ascii="Times New Roman" w:hAnsi="Times New Roman" w:cs="Times New Roman"/>
                <w:sz w:val="28"/>
                <w:szCs w:val="28"/>
              </w:rPr>
            </w:pPr>
            <w:r>
              <w:rPr>
                <w:b/>
                <w:color w:val="843C0B"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016000"/>
                          </a:xfrm>
                          <a:prstGeom prst="rect">
                            <a:avLst/>
                          </a:prstGeom>
                          <a:noFill/>
                          <a:ln>
                            <a:noFill/>
                          </a:ln>
                        </pic:spPr>
                      </pic:pic>
                    </a:graphicData>
                  </a:graphic>
                </wp:anchor>
              </w:drawing>
            </w:r>
          </w:p>
        </w:tc>
        <w:tc>
          <w:tcPr>
            <w:tcW w:w="283" w:type="dxa"/>
            <w:vAlign w:val="center"/>
          </w:tcPr>
          <w:p w14:paraId="6608423A">
            <w:pPr>
              <w:widowControl w:val="0"/>
              <w:spacing w:after="0" w:line="240" w:lineRule="auto"/>
              <w:jc w:val="both"/>
              <w:rPr>
                <w:rFonts w:ascii="Times New Roman" w:hAnsi="Times New Roman" w:cs="Times New Roman"/>
                <w:sz w:val="28"/>
                <w:szCs w:val="28"/>
              </w:rPr>
            </w:pPr>
          </w:p>
        </w:tc>
        <w:tc>
          <w:tcPr>
            <w:tcW w:w="7655" w:type="dxa"/>
            <w:vAlign w:val="center"/>
          </w:tcPr>
          <w:p w14:paraId="72B28300">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Силабус навчальної дисципліни</w:t>
            </w:r>
          </w:p>
        </w:tc>
      </w:tr>
      <w:tr w14:paraId="1B4E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continue"/>
            <w:vAlign w:val="center"/>
          </w:tcPr>
          <w:p w14:paraId="2DED016E">
            <w:pPr>
              <w:widowControl w:val="0"/>
              <w:spacing w:after="0" w:line="240" w:lineRule="auto"/>
              <w:jc w:val="both"/>
              <w:rPr>
                <w:rFonts w:ascii="Times New Roman" w:hAnsi="Times New Roman" w:cs="Times New Roman"/>
                <w:sz w:val="28"/>
                <w:szCs w:val="28"/>
              </w:rPr>
            </w:pPr>
          </w:p>
        </w:tc>
        <w:tc>
          <w:tcPr>
            <w:tcW w:w="283" w:type="dxa"/>
            <w:vAlign w:val="center"/>
          </w:tcPr>
          <w:p w14:paraId="235B2B44">
            <w:pPr>
              <w:widowControl w:val="0"/>
              <w:spacing w:after="0" w:line="240" w:lineRule="auto"/>
              <w:jc w:val="both"/>
              <w:rPr>
                <w:rFonts w:ascii="Times New Roman" w:hAnsi="Times New Roman" w:cs="Times New Roman"/>
                <w:sz w:val="28"/>
                <w:szCs w:val="28"/>
              </w:rPr>
            </w:pPr>
          </w:p>
        </w:tc>
        <w:tc>
          <w:tcPr>
            <w:tcW w:w="7655" w:type="dxa"/>
            <w:vAlign w:val="center"/>
          </w:tcPr>
          <w:p w14:paraId="5CCABC76">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«МІЖНАРОДНІ СТАНДАРТИ фінансової звітності»</w:t>
            </w:r>
          </w:p>
        </w:tc>
      </w:tr>
      <w:tr w14:paraId="0506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701" w:type="dxa"/>
            <w:vMerge w:val="continue"/>
            <w:vAlign w:val="center"/>
          </w:tcPr>
          <w:p w14:paraId="2693E59F">
            <w:pPr>
              <w:widowControl w:val="0"/>
              <w:spacing w:after="0" w:line="240" w:lineRule="auto"/>
              <w:jc w:val="both"/>
              <w:rPr>
                <w:rFonts w:ascii="Times New Roman" w:hAnsi="Times New Roman" w:cs="Times New Roman"/>
                <w:sz w:val="28"/>
                <w:szCs w:val="28"/>
              </w:rPr>
            </w:pPr>
          </w:p>
        </w:tc>
        <w:tc>
          <w:tcPr>
            <w:tcW w:w="283" w:type="dxa"/>
            <w:vAlign w:val="center"/>
          </w:tcPr>
          <w:p w14:paraId="4FD69A15">
            <w:pPr>
              <w:widowControl w:val="0"/>
              <w:spacing w:after="0" w:line="240" w:lineRule="auto"/>
              <w:jc w:val="both"/>
              <w:rPr>
                <w:rFonts w:ascii="Times New Roman" w:hAnsi="Times New Roman" w:cs="Times New Roman"/>
                <w:sz w:val="28"/>
                <w:szCs w:val="28"/>
              </w:rPr>
            </w:pPr>
          </w:p>
        </w:tc>
        <w:tc>
          <w:tcPr>
            <w:tcW w:w="7655" w:type="dxa"/>
            <w:vAlign w:val="center"/>
          </w:tcPr>
          <w:p w14:paraId="24C8767E">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Компонента освітньої програми – вибіркова (4 кредити)</w:t>
            </w:r>
          </w:p>
        </w:tc>
      </w:tr>
    </w:tbl>
    <w:p w14:paraId="7C4FB092">
      <w:pPr>
        <w:widowControl w:val="0"/>
        <w:spacing w:after="0" w:line="240" w:lineRule="auto"/>
        <w:jc w:val="both"/>
        <w:rPr>
          <w:rFonts w:ascii="Times New Roman" w:hAnsi="Times New Roman" w:cs="Times New Roman"/>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14:paraId="4C4C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4ED73BE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Освітньо-професійна програма </w:t>
            </w:r>
          </w:p>
        </w:tc>
        <w:tc>
          <w:tcPr>
            <w:tcW w:w="4815" w:type="dxa"/>
            <w:vAlign w:val="center"/>
          </w:tcPr>
          <w:p w14:paraId="24D4A3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w:t>
            </w:r>
          </w:p>
        </w:tc>
      </w:tr>
      <w:tr w14:paraId="02AF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7C4C3CD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Спеціальність </w:t>
            </w:r>
          </w:p>
        </w:tc>
        <w:tc>
          <w:tcPr>
            <w:tcW w:w="4815" w:type="dxa"/>
            <w:vAlign w:val="center"/>
          </w:tcPr>
          <w:p w14:paraId="71D557F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071 «Облік і оподаткування»</w:t>
            </w:r>
          </w:p>
        </w:tc>
      </w:tr>
      <w:tr w14:paraId="2772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264A711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Галузь знань </w:t>
            </w:r>
          </w:p>
        </w:tc>
        <w:tc>
          <w:tcPr>
            <w:tcW w:w="4815" w:type="dxa"/>
            <w:vAlign w:val="center"/>
          </w:tcPr>
          <w:p w14:paraId="7B8BC93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 «Управління та адміністрування»</w:t>
            </w:r>
          </w:p>
        </w:tc>
      </w:tr>
      <w:tr w14:paraId="5FE5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27A2D79C">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Рівень вищої освіти </w:t>
            </w:r>
          </w:p>
        </w:tc>
        <w:tc>
          <w:tcPr>
            <w:tcW w:w="4815" w:type="dxa"/>
            <w:vAlign w:val="center"/>
          </w:tcPr>
          <w:p w14:paraId="4B5115C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перший (бакалаврський)</w:t>
            </w:r>
          </w:p>
        </w:tc>
      </w:tr>
      <w:tr w14:paraId="7D7C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5838313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Мова навчання </w:t>
            </w:r>
          </w:p>
        </w:tc>
        <w:tc>
          <w:tcPr>
            <w:tcW w:w="4815" w:type="dxa"/>
            <w:vAlign w:val="center"/>
          </w:tcPr>
          <w:p w14:paraId="403BAD5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w:t>
            </w:r>
          </w:p>
        </w:tc>
      </w:tr>
      <w:tr w14:paraId="0F16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74BA18B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Профайл викладача </w:t>
            </w:r>
          </w:p>
        </w:tc>
        <w:tc>
          <w:tcPr>
            <w:tcW w:w="4815" w:type="dxa"/>
            <w:vAlign w:val="center"/>
          </w:tcPr>
          <w:p w14:paraId="0B01490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Танасієва Марина Миколаївна – кандидат економічний наук, доцент, асистент кафедри обліку, аналізу і аудиту </w:t>
            </w:r>
          </w:p>
          <w:p w14:paraId="4323A76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"https://accounting.chnu.edu.ua/pro-nas/kolektyv/tanasiieva-maryna-mykolaivna/" </w:instrText>
            </w:r>
            <w:r>
              <w:rPr>
                <w:rFonts w:ascii="Times New Roman" w:hAnsi="Times New Roman" w:cs="Times New Roman"/>
                <w:sz w:val="24"/>
                <w:szCs w:val="24"/>
              </w:rPr>
              <w:fldChar w:fldCharType="separate"/>
            </w:r>
            <w:r>
              <w:rPr>
                <w:rStyle w:val="5"/>
                <w:rFonts w:ascii="Times New Roman" w:hAnsi="Times New Roman" w:cs="Times New Roman"/>
                <w:sz w:val="24"/>
                <w:szCs w:val="24"/>
              </w:rPr>
              <w:t>https://accounting.chnu.edu.ua/pro-nas/kolektyv/tanasiieva-maryna-mykolaivna/</w:t>
            </w:r>
            <w:r>
              <w:rPr>
                <w:rFonts w:ascii="Times New Roman" w:hAnsi="Times New Roman" w:cs="Times New Roman"/>
                <w:sz w:val="24"/>
                <w:szCs w:val="24"/>
              </w:rPr>
              <w:fldChar w:fldCharType="end"/>
            </w:r>
            <w:bookmarkStart w:id="0" w:name="_GoBack"/>
            <w:bookmarkEnd w:id="0"/>
            <w:r>
              <w:rPr>
                <w:rFonts w:ascii="Times New Roman" w:hAnsi="Times New Roman" w:cs="Times New Roman"/>
                <w:sz w:val="24"/>
                <w:szCs w:val="24"/>
              </w:rPr>
              <w:t xml:space="preserve"> </w:t>
            </w:r>
          </w:p>
        </w:tc>
      </w:tr>
      <w:tr w14:paraId="415A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74DD00C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Контактний телефон</w:t>
            </w:r>
          </w:p>
        </w:tc>
        <w:tc>
          <w:tcPr>
            <w:tcW w:w="4815" w:type="dxa"/>
            <w:vAlign w:val="center"/>
          </w:tcPr>
          <w:p w14:paraId="7FF114DC">
            <w:pPr>
              <w:widowControl w:val="0"/>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+38(050)9669932</w:t>
            </w:r>
          </w:p>
        </w:tc>
      </w:tr>
      <w:tr w14:paraId="5980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4C3F162B">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E-mail </w:t>
            </w:r>
          </w:p>
        </w:tc>
        <w:tc>
          <w:tcPr>
            <w:tcW w:w="4815" w:type="dxa"/>
            <w:vAlign w:val="center"/>
          </w:tcPr>
          <w:p w14:paraId="28C305B3">
            <w:pPr>
              <w:widowControl w:val="0"/>
              <w:spacing w:after="0" w:line="240" w:lineRule="auto"/>
              <w:jc w:val="both"/>
              <w:rPr>
                <w:rFonts w:ascii="Times New Roman" w:hAnsi="Times New Roman" w:cs="Times New Roman"/>
                <w:sz w:val="24"/>
                <w:szCs w:val="24"/>
              </w:rPr>
            </w:pPr>
            <w:r>
              <w:fldChar w:fldCharType="begin"/>
            </w:r>
            <w:r>
              <w:instrText xml:space="preserve"> HYPERLINK "mailto:m.tanasiyeva@chnu.edu.ua" </w:instrText>
            </w:r>
            <w:r>
              <w:fldChar w:fldCharType="separate"/>
            </w:r>
            <w:r>
              <w:rPr>
                <w:rStyle w:val="5"/>
                <w:rFonts w:ascii="Times New Roman" w:hAnsi="Times New Roman" w:eastAsia="Times New Roman" w:cs="Times New Roman"/>
                <w:sz w:val="24"/>
                <w:szCs w:val="24"/>
                <w:lang w:val="en-US"/>
              </w:rPr>
              <w:t>m.tanasiyeva</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chnu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edu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ua</w:t>
            </w:r>
            <w:r>
              <w:rPr>
                <w:rStyle w:val="5"/>
                <w:rFonts w:ascii="Times New Roman" w:hAnsi="Times New Roman" w:eastAsia="Times New Roman" w:cs="Times New Roman"/>
                <w:sz w:val="24"/>
                <w:szCs w:val="24"/>
                <w:lang w:val="en-US"/>
              </w:rPr>
              <w:fldChar w:fldCharType="end"/>
            </w:r>
            <w:r>
              <w:rPr>
                <w:rFonts w:ascii="Times New Roman" w:hAnsi="Times New Roman" w:eastAsia="Times New Roman" w:cs="Times New Roman"/>
                <w:sz w:val="24"/>
                <w:szCs w:val="24"/>
                <w:lang w:val="en-US"/>
              </w:rPr>
              <w:t xml:space="preserve">  </w:t>
            </w:r>
          </w:p>
        </w:tc>
      </w:tr>
      <w:tr w14:paraId="1E92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1018F164">
            <w:pPr>
              <w:widowControl w:val="0"/>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 xml:space="preserve">Сторінка курсу в </w:t>
            </w:r>
            <w:r>
              <w:rPr>
                <w:rFonts w:ascii="Times New Roman" w:hAnsi="Times New Roman" w:cs="Times New Roman"/>
                <w:b/>
                <w:sz w:val="24"/>
                <w:szCs w:val="24"/>
                <w:lang w:val="en-US"/>
              </w:rPr>
              <w:t>Moodle</w:t>
            </w:r>
          </w:p>
        </w:tc>
        <w:tc>
          <w:tcPr>
            <w:tcW w:w="4815" w:type="dxa"/>
            <w:vAlign w:val="center"/>
          </w:tcPr>
          <w:p w14:paraId="451293A5">
            <w:pPr>
              <w:widowControl w:val="0"/>
              <w:spacing w:after="0" w:line="240" w:lineRule="auto"/>
              <w:jc w:val="both"/>
              <w:rPr>
                <w:rFonts w:ascii="Times New Roman" w:hAnsi="Times New Roman" w:cs="Times New Roman"/>
                <w:sz w:val="24"/>
                <w:szCs w:val="24"/>
                <w:lang w:val="ru-RU"/>
              </w:rPr>
            </w:pPr>
            <w:r>
              <w:fldChar w:fldCharType="begin"/>
            </w:r>
            <w:r>
              <w:instrText xml:space="preserve"> HYPERLINK "https://moodle.chnu.edu.ua/course/view.php?id=2771" </w:instrText>
            </w:r>
            <w:r>
              <w:fldChar w:fldCharType="separate"/>
            </w:r>
            <w:r>
              <w:rPr>
                <w:rStyle w:val="5"/>
                <w:rFonts w:ascii="Times New Roman" w:hAnsi="Times New Roman" w:cs="Times New Roman"/>
                <w:sz w:val="24"/>
                <w:szCs w:val="24"/>
              </w:rPr>
              <w:t>https://moodle.chnu.edu.ua/course/view.php?id=2771</w:t>
            </w:r>
            <w:r>
              <w:rPr>
                <w:rStyle w:val="5"/>
                <w:rFonts w:ascii="Times New Roman" w:hAnsi="Times New Roman" w:cs="Times New Roman"/>
                <w:sz w:val="24"/>
                <w:szCs w:val="24"/>
              </w:rPr>
              <w:fldChar w:fldCharType="end"/>
            </w:r>
            <w:r>
              <w:rPr>
                <w:rFonts w:ascii="Times New Roman" w:hAnsi="Times New Roman" w:cs="Times New Roman"/>
                <w:sz w:val="24"/>
                <w:szCs w:val="24"/>
                <w:lang w:val="ru-RU"/>
              </w:rPr>
              <w:t xml:space="preserve"> </w:t>
            </w:r>
          </w:p>
        </w:tc>
      </w:tr>
      <w:tr w14:paraId="5AB7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5870D4D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4815" w:type="dxa"/>
            <w:vAlign w:val="center"/>
          </w:tcPr>
          <w:p w14:paraId="25B2117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14:paraId="1610BCEB">
      <w:pPr>
        <w:widowControl w:val="0"/>
        <w:spacing w:after="0" w:line="240" w:lineRule="auto"/>
        <w:jc w:val="both"/>
        <w:rPr>
          <w:rFonts w:ascii="Times New Roman" w:hAnsi="Times New Roman" w:cs="Times New Roman"/>
          <w:sz w:val="28"/>
          <w:szCs w:val="28"/>
        </w:rPr>
      </w:pPr>
    </w:p>
    <w:p w14:paraId="023C8448">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Анотація навчальної дисципліни</w:t>
      </w:r>
    </w:p>
    <w:p w14:paraId="2DCA7A91">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Євроінтеграційні процеси, що тривають в Україні надають можливості виходу вітчизняних компаній на світовий ринок. Застосування Міжнародних стандартів бухгалтерського обліку та фінансової звітності забезпечує зрозумілість, доступність та надійність інформаційної системи бухгалтерського обліку та фінансової звітності для інших суб’єктів міжнародного валютного ринку. Тому для усунення економічних та торговельних бар’єрів й активізації надходження іноземних інвестицій важливо будувати систему обліку та складання фінансової звітності, як основного засобу ведення міжнародного бізнесу, на вимогах МСБО. Все це вимагає підготовки висококваліфікованих кадрів зі спеціальності облік і оподаткування, які б мали змогу забезпечити розробку та (або) трансформацію системи обліку та звітності з національних до міжнародних стандартів. Цей факт зумовлює потребу ґрунтовних знань особливостей та сфери застосування МСБО (МСФЗ) та належної організації бухгалтерського обліку вітчизняних суб’єктів господарювання згідно їхніх вимог.</w:t>
      </w:r>
    </w:p>
    <w:p w14:paraId="4B3CECEE">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Мета навчальної дисципліни (МСФЗ):</w:t>
      </w:r>
      <w:r>
        <w:rPr>
          <w:rFonts w:ascii="Times New Roman" w:hAnsi="Times New Roman" w:cs="Times New Roman"/>
          <w:b/>
          <w:sz w:val="28"/>
          <w:szCs w:val="28"/>
        </w:rPr>
        <w:t xml:space="preserve"> </w:t>
      </w:r>
      <w:r>
        <w:rPr>
          <w:rFonts w:ascii="Times New Roman" w:hAnsi="Times New Roman" w:cs="Times New Roman"/>
          <w:sz w:val="28"/>
          <w:szCs w:val="28"/>
        </w:rPr>
        <w:t>засвоєння теоретичних основ міжнародних стандартів бухгалтерського обліку та</w:t>
      </w:r>
      <w:r>
        <w:rPr>
          <w:rFonts w:ascii="Times New Roman" w:hAnsi="Times New Roman" w:cs="Times New Roman"/>
          <w:b/>
          <w:sz w:val="28"/>
          <w:szCs w:val="28"/>
        </w:rPr>
        <w:t xml:space="preserve"> </w:t>
      </w:r>
      <w:r>
        <w:rPr>
          <w:rFonts w:ascii="Times New Roman" w:hAnsi="Times New Roman" w:cs="Times New Roman"/>
          <w:sz w:val="28"/>
          <w:szCs w:val="28"/>
        </w:rPr>
        <w:t>звітності,</w:t>
      </w:r>
      <w:r>
        <w:rPr>
          <w:rFonts w:ascii="Times New Roman" w:hAnsi="Times New Roman" w:cs="Times New Roman"/>
          <w:b/>
          <w:sz w:val="28"/>
          <w:szCs w:val="28"/>
        </w:rPr>
        <w:t xml:space="preserve"> </w:t>
      </w:r>
      <w:r>
        <w:rPr>
          <w:rFonts w:ascii="Times New Roman" w:hAnsi="Times New Roman" w:cs="Times New Roman"/>
          <w:sz w:val="28"/>
          <w:szCs w:val="28"/>
        </w:rPr>
        <w:t>вироблення практичних навичок ведення обліку і складання фінансової звітності відповідно до вимог Міжнародних стандартів фінансової звітності.</w:t>
      </w:r>
    </w:p>
    <w:p w14:paraId="00178BB7">
      <w:pPr>
        <w:widowControl w:val="0"/>
        <w:spacing w:after="0" w:line="240" w:lineRule="auto"/>
        <w:ind w:firstLine="567"/>
        <w:jc w:val="both"/>
        <w:rPr>
          <w:rFonts w:ascii="Times New Roman" w:hAnsi="Times New Roman" w:cs="Times New Roman"/>
          <w:sz w:val="28"/>
          <w:szCs w:val="28"/>
        </w:rPr>
      </w:pPr>
    </w:p>
    <w:p w14:paraId="583D751E">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Навчальний контент освітньої компоненти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14:paraId="48F9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720DAA68">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1. </w:t>
            </w:r>
            <w:r>
              <w:rPr>
                <w:rFonts w:ascii="Times New Roman" w:hAnsi="Times New Roman" w:cs="Times New Roman"/>
                <w:b/>
                <w:bCs/>
                <w:sz w:val="24"/>
                <w:szCs w:val="24"/>
              </w:rPr>
              <w:t>ОСНОВНІ ПРИНЦИПИ, СТРУКТУРА ТА ПОДАННЯ МСФЗ</w:t>
            </w:r>
          </w:p>
        </w:tc>
      </w:tr>
      <w:tr w14:paraId="2D08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528C91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w:t>
            </w:r>
          </w:p>
        </w:tc>
        <w:tc>
          <w:tcPr>
            <w:tcW w:w="8216" w:type="dxa"/>
          </w:tcPr>
          <w:p w14:paraId="6BC58C1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Міжнародні стандарти бухгалтерського обліку, їх розробка та впровадження</w:t>
            </w:r>
          </w:p>
        </w:tc>
      </w:tr>
      <w:tr w14:paraId="2685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7BCD22C">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w:t>
            </w:r>
          </w:p>
        </w:tc>
        <w:tc>
          <w:tcPr>
            <w:tcW w:w="8216" w:type="dxa"/>
          </w:tcPr>
          <w:p w14:paraId="67D7689A">
            <w:pPr>
              <w:pStyle w:val="10"/>
              <w:jc w:val="both"/>
              <w:rPr>
                <w:lang w:val="uk-UA"/>
              </w:rPr>
            </w:pPr>
            <w:r>
              <w:rPr>
                <w:bCs/>
              </w:rPr>
              <w:t>Основні форми фінансової звітності</w:t>
            </w:r>
            <w:r>
              <w:rPr>
                <w:bCs/>
                <w:lang w:val="uk-UA"/>
              </w:rPr>
              <w:t xml:space="preserve"> за МСФЗ</w:t>
            </w:r>
          </w:p>
        </w:tc>
      </w:tr>
      <w:tr w14:paraId="3E6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15EE2AE">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3</w:t>
            </w:r>
          </w:p>
        </w:tc>
        <w:tc>
          <w:tcPr>
            <w:tcW w:w="8216" w:type="dxa"/>
          </w:tcPr>
          <w:p w14:paraId="17CB7499">
            <w:pPr>
              <w:pStyle w:val="10"/>
              <w:jc w:val="both"/>
              <w:rPr>
                <w:lang w:val="uk-UA"/>
              </w:rPr>
            </w:pPr>
            <w:r>
              <w:rPr>
                <w:bCs/>
              </w:rPr>
              <w:t>Подання фінансової звітності</w:t>
            </w:r>
          </w:p>
        </w:tc>
      </w:tr>
      <w:tr w14:paraId="798E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B1422B3">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w:t>
            </w:r>
          </w:p>
        </w:tc>
        <w:tc>
          <w:tcPr>
            <w:tcW w:w="8216" w:type="dxa"/>
          </w:tcPr>
          <w:p w14:paraId="5B9F9910">
            <w:pPr>
              <w:pStyle w:val="10"/>
              <w:jc w:val="both"/>
              <w:rPr>
                <w:lang w:val="uk-UA"/>
              </w:rPr>
            </w:pPr>
            <w:r>
              <w:rPr>
                <w:bCs/>
                <w:lang w:val="uk-UA"/>
              </w:rPr>
              <w:t>Облік довгострокових активів за МСФЗ</w:t>
            </w:r>
          </w:p>
        </w:tc>
      </w:tr>
      <w:tr w14:paraId="6F44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73EE81C">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5</w:t>
            </w:r>
          </w:p>
        </w:tc>
        <w:tc>
          <w:tcPr>
            <w:tcW w:w="8216" w:type="dxa"/>
          </w:tcPr>
          <w:p w14:paraId="3D995765">
            <w:pPr>
              <w:pStyle w:val="10"/>
              <w:jc w:val="both"/>
              <w:rPr>
                <w:b/>
                <w:bCs/>
                <w:lang w:val="uk-UA"/>
              </w:rPr>
            </w:pPr>
            <w:r>
              <w:rPr>
                <w:bCs/>
                <w:lang w:val="uk-UA"/>
              </w:rPr>
              <w:t>Облік поточних активів за МСФЗ</w:t>
            </w:r>
          </w:p>
        </w:tc>
      </w:tr>
      <w:tr w14:paraId="0735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64DC22AB">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2. </w:t>
            </w:r>
            <w:r>
              <w:rPr>
                <w:rFonts w:ascii="Times New Roman" w:hAnsi="Times New Roman" w:cs="Times New Roman"/>
                <w:b/>
                <w:bCs/>
                <w:sz w:val="24"/>
                <w:szCs w:val="24"/>
              </w:rPr>
              <w:t>ПІДГОТОВКА ТА ВИЗНАЧЕННЯ ОСНОВНИХ ЕЛЕМЕНТІВ ФІНАНСОВИХ ЗВІТІВ ЗГІДНО МІЖНАРОДНИХ СТАНДАРТІВ</w:t>
            </w:r>
          </w:p>
        </w:tc>
      </w:tr>
      <w:tr w14:paraId="3B1B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746600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6</w:t>
            </w:r>
          </w:p>
        </w:tc>
        <w:tc>
          <w:tcPr>
            <w:tcW w:w="8216" w:type="dxa"/>
          </w:tcPr>
          <w:p w14:paraId="7F733A7F">
            <w:pPr>
              <w:pStyle w:val="10"/>
              <w:jc w:val="both"/>
              <w:rPr>
                <w:lang w:val="uk-UA"/>
              </w:rPr>
            </w:pPr>
            <w:r>
              <w:rPr>
                <w:bCs/>
                <w:lang w:val="uk-UA"/>
              </w:rPr>
              <w:t>Забезпечення, непередбачені зобов’язання і активи, виплати працівникам та програми пенсійного забезпечення</w:t>
            </w:r>
          </w:p>
        </w:tc>
      </w:tr>
      <w:tr w14:paraId="4F2C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3EFF4A3">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7</w:t>
            </w:r>
          </w:p>
        </w:tc>
        <w:tc>
          <w:tcPr>
            <w:tcW w:w="8216" w:type="dxa"/>
          </w:tcPr>
          <w:p w14:paraId="72F81AD6">
            <w:pPr>
              <w:pStyle w:val="10"/>
            </w:pPr>
            <w:r>
              <w:rPr>
                <w:bCs/>
              </w:rPr>
              <w:t>Фінансові інструменти та платіж на основі акцій</w:t>
            </w:r>
          </w:p>
        </w:tc>
      </w:tr>
      <w:tr w14:paraId="5D76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ED5EB6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8</w:t>
            </w:r>
          </w:p>
        </w:tc>
        <w:tc>
          <w:tcPr>
            <w:tcW w:w="8216" w:type="dxa"/>
          </w:tcPr>
          <w:p w14:paraId="79BD60FC">
            <w:pPr>
              <w:pStyle w:val="10"/>
              <w:rPr>
                <w:lang w:val="uk-UA"/>
              </w:rPr>
            </w:pPr>
            <w:r>
              <w:rPr>
                <w:bCs/>
                <w:lang w:val="uk-UA"/>
              </w:rPr>
              <w:t>Облік д</w:t>
            </w:r>
            <w:r>
              <w:rPr>
                <w:bCs/>
              </w:rPr>
              <w:t>оход</w:t>
            </w:r>
            <w:r>
              <w:rPr>
                <w:bCs/>
                <w:lang w:val="uk-UA"/>
              </w:rPr>
              <w:t>ів</w:t>
            </w:r>
            <w:r>
              <w:rPr>
                <w:bCs/>
              </w:rPr>
              <w:t>, витрат і податк</w:t>
            </w:r>
            <w:r>
              <w:rPr>
                <w:bCs/>
                <w:lang w:val="uk-UA"/>
              </w:rPr>
              <w:t>у</w:t>
            </w:r>
            <w:r>
              <w:rPr>
                <w:bCs/>
              </w:rPr>
              <w:t xml:space="preserve"> на прибуток</w:t>
            </w:r>
          </w:p>
        </w:tc>
      </w:tr>
      <w:tr w14:paraId="184B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687F73E">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9</w:t>
            </w:r>
          </w:p>
        </w:tc>
        <w:tc>
          <w:tcPr>
            <w:tcW w:w="8216" w:type="dxa"/>
          </w:tcPr>
          <w:p w14:paraId="7670565C">
            <w:pPr>
              <w:pStyle w:val="10"/>
              <w:rPr>
                <w:lang w:val="uk-UA"/>
              </w:rPr>
            </w:pPr>
            <w:r>
              <w:rPr>
                <w:bCs/>
                <w:lang w:val="uk-UA"/>
              </w:rPr>
              <w:t>Зв’язані сторони і консолідована звітність</w:t>
            </w:r>
          </w:p>
        </w:tc>
      </w:tr>
    </w:tbl>
    <w:p w14:paraId="57507D94">
      <w:pPr>
        <w:widowControl w:val="0"/>
        <w:spacing w:after="0" w:line="240" w:lineRule="auto"/>
        <w:jc w:val="both"/>
        <w:rPr>
          <w:rFonts w:ascii="Times New Roman" w:hAnsi="Times New Roman" w:cs="Times New Roman"/>
          <w:sz w:val="28"/>
          <w:szCs w:val="28"/>
        </w:rPr>
      </w:pPr>
    </w:p>
    <w:p w14:paraId="03142A5D">
      <w:pPr>
        <w:pStyle w:val="10"/>
        <w:jc w:val="center"/>
        <w:rPr>
          <w:rFonts w:asciiTheme="majorBidi" w:hAnsiTheme="majorBidi" w:cstheme="majorBidi"/>
          <w:b/>
          <w:color w:val="auto"/>
          <w:kern w:val="24"/>
          <w:sz w:val="28"/>
          <w:szCs w:val="28"/>
          <w:lang w:val="uk-UA"/>
        </w:rPr>
      </w:pPr>
      <w:r>
        <w:rPr>
          <w:rFonts w:asciiTheme="majorBidi" w:hAnsiTheme="majorBidi" w:cstheme="majorBidi"/>
          <w:b/>
          <w:color w:val="auto"/>
          <w:kern w:val="24"/>
          <w:sz w:val="28"/>
          <w:szCs w:val="28"/>
          <w:lang w:val="uk-UA"/>
        </w:rPr>
        <w:t>ФОРМИ, МЕТОДИ ТА</w:t>
      </w:r>
      <w:r>
        <w:rPr>
          <w:rFonts w:asciiTheme="majorBidi" w:hAnsiTheme="majorBidi" w:cstheme="majorBidi"/>
          <w:b/>
          <w:color w:val="auto"/>
          <w:kern w:val="24"/>
          <w:sz w:val="28"/>
          <w:szCs w:val="28"/>
        </w:rPr>
        <w:t xml:space="preserve"> ОСВІТНІ ТЕХНОЛОГІЇ</w:t>
      </w:r>
      <w:r>
        <w:rPr>
          <w:rFonts w:asciiTheme="majorBidi" w:hAnsiTheme="majorBidi" w:cstheme="majorBidi"/>
          <w:b/>
          <w:color w:val="auto"/>
          <w:kern w:val="24"/>
          <w:sz w:val="28"/>
          <w:szCs w:val="28"/>
          <w:lang w:val="uk-UA"/>
        </w:rPr>
        <w:t xml:space="preserve"> </w:t>
      </w:r>
      <w:r>
        <w:rPr>
          <w:rFonts w:asciiTheme="majorBidi" w:hAnsiTheme="majorBidi" w:cstheme="majorBidi"/>
          <w:b/>
          <w:color w:val="auto"/>
          <w:kern w:val="24"/>
          <w:sz w:val="28"/>
          <w:szCs w:val="28"/>
        </w:rPr>
        <w:t>НАВЧАННЯ</w:t>
      </w:r>
    </w:p>
    <w:p w14:paraId="5A9ED925">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моделей, модульно-блочного навчання; вербальні методи (лекція, бесіда, пояснення, розповідь та інші); практичні методи (семінари, практичні та ситуаційні завдання);  наочні методи (презентація, демонстрація, ілюстрація); проблемно-пошукові методи;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з використанням системи Moodle; і</w:t>
      </w:r>
      <w:r>
        <w:rPr>
          <w:rFonts w:ascii="Times New Roman" w:hAnsi="Times New Roman" w:eastAsia="Malgun Gothic Semilight" w:cs="Times New Roman"/>
          <w:sz w:val="28"/>
          <w:szCs w:val="28"/>
        </w:rPr>
        <w:t>нш</w:t>
      </w:r>
      <w:r>
        <w:rPr>
          <w:rFonts w:ascii="Times New Roman" w:hAnsi="Times New Roman" w:cs="Times New Roman"/>
          <w:sz w:val="28"/>
          <w:szCs w:val="28"/>
        </w:rPr>
        <w:t xml:space="preserve">і </w:t>
      </w:r>
      <w:r>
        <w:rPr>
          <w:rFonts w:ascii="Times New Roman" w:hAnsi="Times New Roman" w:eastAsia="Malgun Gothic Semilight" w:cs="Times New Roman"/>
          <w:sz w:val="28"/>
          <w:szCs w:val="28"/>
        </w:rPr>
        <w:t>методи навчання.</w:t>
      </w:r>
    </w:p>
    <w:p w14:paraId="14DDC383">
      <w:pPr>
        <w:widowControl w:val="0"/>
        <w:spacing w:after="0" w:line="240" w:lineRule="auto"/>
        <w:jc w:val="both"/>
        <w:rPr>
          <w:rFonts w:ascii="Times New Roman" w:hAnsi="Times New Roman" w:cs="Times New Roman"/>
          <w:sz w:val="28"/>
          <w:szCs w:val="28"/>
        </w:rPr>
      </w:pPr>
    </w:p>
    <w:p w14:paraId="341FB0D2">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Форми й методи контролю та оцінювання</w:t>
      </w:r>
    </w:p>
    <w:p w14:paraId="707CE6F5">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Pr>
          <w:rFonts w:ascii="Times New Roman" w:hAnsi="Times New Roman" w:eastAsia="Arial Unicode MS" w:cs="Times New Roman"/>
          <w:color w:val="000000"/>
          <w:sz w:val="28"/>
          <w:szCs w:val="28"/>
          <w:lang w:bidi="en-US"/>
        </w:rPr>
        <w:t>фронтальне опитування; індивідуальне опитування; с</w:t>
      </w:r>
      <w:r>
        <w:rPr>
          <w:rFonts w:ascii="Times New Roman" w:hAnsi="Times New Roman" w:eastAsia="Malgun Gothic Semilight" w:cs="Times New Roman"/>
          <w:color w:val="000000"/>
          <w:sz w:val="28"/>
          <w:szCs w:val="28"/>
          <w:lang w:bidi="en-US"/>
        </w:rPr>
        <w:t>тандартизован</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тести</w:t>
      </w:r>
      <w:r>
        <w:rPr>
          <w:rFonts w:ascii="Times New Roman" w:hAnsi="Times New Roman" w:eastAsia="Arial Unicode MS" w:cs="Times New Roman"/>
          <w:color w:val="000000"/>
          <w:sz w:val="28"/>
          <w:szCs w:val="28"/>
          <w:lang w:bidi="en-US"/>
        </w:rPr>
        <w:t xml:space="preserve">; розв’язування практичних ситуацій; тематичні контрольні роботи; презентація результатів виконання індивідуальних та командних завдань (наукових, розрахункових, аналітичних та інших); виступи та </w:t>
      </w:r>
      <w:r>
        <w:rPr>
          <w:rFonts w:ascii="Times New Roman" w:hAnsi="Times New Roman" w:eastAsia="Malgun Gothic Semilight" w:cs="Times New Roman"/>
          <w:color w:val="000000"/>
          <w:sz w:val="28"/>
          <w:szCs w:val="28"/>
          <w:lang w:bidi="en-US"/>
        </w:rPr>
        <w:t>презентац</w:t>
      </w:r>
      <w:r>
        <w:rPr>
          <w:rFonts w:ascii="Times New Roman" w:hAnsi="Times New Roman" w:eastAsia="Arial Unicode MS" w:cs="Times New Roman"/>
          <w:color w:val="000000"/>
          <w:sz w:val="28"/>
          <w:szCs w:val="28"/>
          <w:lang w:bidi="en-US"/>
        </w:rPr>
        <w:t xml:space="preserve">ії здобувачів </w:t>
      </w:r>
      <w:r>
        <w:rPr>
          <w:rFonts w:ascii="Times New Roman" w:hAnsi="Times New Roman" w:eastAsia="Malgun Gothic Semilight" w:cs="Times New Roman"/>
          <w:color w:val="000000"/>
          <w:sz w:val="28"/>
          <w:szCs w:val="28"/>
          <w:lang w:bidi="en-US"/>
        </w:rPr>
        <w:t>на</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науково-практичних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заходах</w:t>
      </w:r>
      <w:r>
        <w:rPr>
          <w:rFonts w:ascii="Times New Roman" w:hAnsi="Times New Roman" w:eastAsia="Arial Unicode MS" w:cs="Times New Roman"/>
          <w:color w:val="000000"/>
          <w:sz w:val="28"/>
          <w:szCs w:val="28"/>
          <w:lang w:bidi="en-US"/>
        </w:rPr>
        <w:t>; і</w:t>
      </w:r>
      <w:r>
        <w:rPr>
          <w:rFonts w:ascii="Times New Roman" w:hAnsi="Times New Roman" w:eastAsia="Malgun Gothic Semilight" w:cs="Times New Roman"/>
          <w:color w:val="000000"/>
          <w:sz w:val="28"/>
          <w:szCs w:val="28"/>
          <w:lang w:bidi="en-US"/>
        </w:rPr>
        <w:t>нш</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види</w:t>
      </w:r>
      <w:r>
        <w:rPr>
          <w:rFonts w:ascii="Times New Roman" w:hAnsi="Times New Roman" w:eastAsia="Arial Unicode MS" w:cs="Times New Roman"/>
          <w:color w:val="000000"/>
          <w:sz w:val="28"/>
          <w:szCs w:val="28"/>
          <w:lang w:bidi="en-US"/>
        </w:rPr>
        <w:t xml:space="preserve"> і</w:t>
      </w:r>
      <w:r>
        <w:rPr>
          <w:rFonts w:ascii="Times New Roman" w:hAnsi="Times New Roman" w:eastAsia="Malgun Gothic Semilight" w:cs="Times New Roman"/>
          <w:color w:val="000000"/>
          <w:sz w:val="28"/>
          <w:szCs w:val="28"/>
          <w:lang w:bidi="en-US"/>
        </w:rPr>
        <w:t>ндив</w:t>
      </w:r>
      <w:r>
        <w:rPr>
          <w:rFonts w:ascii="Times New Roman" w:hAnsi="Times New Roman" w:eastAsia="Arial Unicode MS" w:cs="Times New Roman"/>
          <w:color w:val="000000"/>
          <w:sz w:val="28"/>
          <w:szCs w:val="28"/>
          <w:lang w:bidi="en-US"/>
        </w:rPr>
        <w:t>і</w:t>
      </w:r>
      <w:r>
        <w:rPr>
          <w:rFonts w:ascii="Times New Roman" w:hAnsi="Times New Roman" w:eastAsia="Malgun Gothic Semilight" w:cs="Times New Roman"/>
          <w:color w:val="000000"/>
          <w:sz w:val="28"/>
          <w:szCs w:val="28"/>
          <w:lang w:bidi="en-US"/>
        </w:rPr>
        <w:t>дуальних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та</w:t>
      </w:r>
      <w:r>
        <w:rPr>
          <w:rFonts w:ascii="Times New Roman" w:hAnsi="Times New Roman" w:eastAsia="Arial Unicode MS" w:cs="Times New Roman"/>
          <w:color w:val="000000"/>
          <w:sz w:val="28"/>
          <w:szCs w:val="28"/>
          <w:lang w:bidi="en-US"/>
        </w:rPr>
        <w:t xml:space="preserve"> групових завдань.</w:t>
      </w:r>
    </w:p>
    <w:p w14:paraId="3F52B366">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залік.</w:t>
      </w:r>
    </w:p>
    <w:p w14:paraId="795CFB5A">
      <w:pPr>
        <w:widowControl w:val="0"/>
        <w:spacing w:after="0" w:line="240" w:lineRule="auto"/>
        <w:jc w:val="both"/>
        <w:rPr>
          <w:rFonts w:ascii="Times New Roman" w:hAnsi="Times New Roman" w:cs="Times New Roman"/>
          <w:sz w:val="28"/>
          <w:szCs w:val="28"/>
        </w:rPr>
      </w:pPr>
    </w:p>
    <w:p w14:paraId="2AEE9A47">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Критерії оцінювання результатів навчання</w:t>
      </w:r>
    </w:p>
    <w:p w14:paraId="13984B80">
      <w:pPr>
        <w:pStyle w:val="6"/>
        <w:widowControl w:val="0"/>
        <w:spacing w:before="0" w:beforeAutospacing="0" w:after="0" w:afterAutospacing="0"/>
        <w:ind w:firstLine="567"/>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14:paraId="25B6B780">
      <w:pPr>
        <w:pStyle w:val="6"/>
        <w:widowControl w:val="0"/>
        <w:spacing w:before="0" w:beforeAutospacing="0" w:after="0" w:afterAutospacing="0"/>
        <w:ind w:firstLine="567"/>
        <w:jc w:val="both"/>
        <w:rPr>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758D2571">
      <w:pPr>
        <w:widowControl w:val="0"/>
        <w:spacing w:after="0" w:line="240" w:lineRule="auto"/>
        <w:jc w:val="both"/>
        <w:rPr>
          <w:rFonts w:ascii="Times New Roman" w:hAnsi="Times New Roman" w:cs="Times New Roman"/>
          <w:sz w:val="28"/>
          <w:szCs w:val="28"/>
        </w:rPr>
      </w:pPr>
    </w:p>
    <w:p w14:paraId="0C82F26A">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Політика щодо академічної доброчесності</w:t>
      </w:r>
    </w:p>
    <w:p w14:paraId="4426DE52">
      <w:pPr>
        <w:pStyle w:val="8"/>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32C93254">
      <w:pPr>
        <w:pStyle w:val="8"/>
        <w:numPr>
          <w:ilvl w:val="0"/>
          <w:numId w:val="1"/>
        </w:numPr>
        <w:tabs>
          <w:tab w:val="left" w:pos="851"/>
        </w:tabs>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 xml:space="preserve">Чернівецького національного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xml:space="preserve">: </w:t>
      </w:r>
      <w:r>
        <w:fldChar w:fldCharType="begin"/>
      </w:r>
      <w:r>
        <w:instrText xml:space="preserve"> HYPERLINK "https://www.chnu.edu.ua/media/jxdbs0zb/etychnyi-kodeks-chernivets%20koho-natsionalnoho-universytetu.pdf" </w:instrText>
      </w:r>
      <w:r>
        <w:fldChar w:fldCharType="separate"/>
      </w:r>
      <w:r>
        <w:rPr>
          <w:rStyle w:val="5"/>
          <w:bCs/>
          <w:color w:val="0070C0"/>
          <w:sz w:val="28"/>
          <w:szCs w:val="28"/>
        </w:rPr>
        <w:t>https://www.chnu.edu.ua/media/jxdbs0zb/etychnyi-kodeks-chernivets koho-natsionalnoho-universytetu.pdf</w:t>
      </w:r>
      <w:r>
        <w:rPr>
          <w:rStyle w:val="5"/>
          <w:bCs/>
          <w:color w:val="0070C0"/>
          <w:sz w:val="28"/>
          <w:szCs w:val="28"/>
        </w:rPr>
        <w:fldChar w:fldCharType="end"/>
      </w:r>
      <w:r>
        <w:rPr>
          <w:rStyle w:val="5"/>
          <w:bCs/>
          <w:sz w:val="28"/>
          <w:szCs w:val="28"/>
        </w:rPr>
        <w:t>;</w:t>
      </w:r>
    </w:p>
    <w:p w14:paraId="48AF8E3D">
      <w:pPr>
        <w:pStyle w:val="8"/>
        <w:numPr>
          <w:ilvl w:val="0"/>
          <w:numId w:val="1"/>
        </w:numPr>
        <w:tabs>
          <w:tab w:val="left" w:pos="851"/>
        </w:tabs>
        <w:ind w:left="0" w:firstLine="567"/>
        <w:rPr>
          <w:sz w:val="28"/>
          <w:szCs w:val="28"/>
        </w:rPr>
      </w:pPr>
      <w:r>
        <w:rPr>
          <w:bCs/>
          <w:color w:val="000000" w:themeColor="text1"/>
          <w:sz w:val="28"/>
          <w:szCs w:val="28"/>
          <w14:textFill>
            <w14:solidFill>
              <w14:schemeClr w14:val="tx1"/>
            </w14:solidFill>
          </w14:textFill>
        </w:rPr>
        <w:t xml:space="preserve">Положенням про виявлення та запобігання академічного плагіату у Чернівецькому національному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w:t>
      </w:r>
      <w:r>
        <w:rPr>
          <w:bCs/>
          <w:color w:val="000000" w:themeColor="text1"/>
          <w:sz w:val="28"/>
          <w:szCs w:val="28"/>
          <w14:textFill>
            <w14:solidFill>
              <w14:schemeClr w14:val="tx1"/>
            </w14:solidFill>
          </w14:textFill>
        </w:rPr>
        <w:fldChar w:fldCharType="begin"/>
      </w:r>
      <w:r>
        <w:rPr>
          <w:bCs/>
          <w:color w:val="000000" w:themeColor="text1"/>
          <w:sz w:val="28"/>
          <w:szCs w:val="28"/>
          <w14:textFill>
            <w14:solidFill>
              <w14:schemeClr w14:val="tx1"/>
            </w14:solidFill>
          </w14:textFill>
        </w:rPr>
        <w:instrText xml:space="preserve"> HYPERLINK "https://www.chnu.edu.ua/media/hkzbr1b2/polozhennia-pro-vyiavlennia-ta-zapobihannia-akademichnomu-plahiatu-u-chnu-2025.pdf" </w:instrText>
      </w:r>
      <w:r>
        <w:rPr>
          <w:bCs/>
          <w:color w:val="000000" w:themeColor="text1"/>
          <w:sz w:val="28"/>
          <w:szCs w:val="28"/>
          <w14:textFill>
            <w14:solidFill>
              <w14:schemeClr w14:val="tx1"/>
            </w14:solidFill>
          </w14:textFill>
        </w:rPr>
        <w:fldChar w:fldCharType="separate"/>
      </w:r>
      <w:r>
        <w:rPr>
          <w:rStyle w:val="5"/>
          <w:bCs/>
          <w:sz w:val="28"/>
          <w:szCs w:val="28"/>
        </w:rPr>
        <w:t>https://www.chnu.edu.ua/media/hkzbr1b2/polozhennia-pro-vyiavlennia-ta-zapobihannia-akademichnomu-plahiatu-u-chnu-2025.pdf</w:t>
      </w:r>
      <w:r>
        <w:rPr>
          <w:bCs/>
          <w:color w:val="000000" w:themeColor="text1"/>
          <w:sz w:val="28"/>
          <w:szCs w:val="28"/>
          <w14:textFill>
            <w14:solidFill>
              <w14:schemeClr w14:val="tx1"/>
            </w14:solidFill>
          </w14:textFill>
        </w:rPr>
        <w:fldChar w:fldCharType="end"/>
      </w:r>
    </w:p>
    <w:p w14:paraId="6DADE8A4">
      <w:pPr>
        <w:widowControl w:val="0"/>
        <w:spacing w:after="0" w:line="240" w:lineRule="auto"/>
        <w:ind w:firstLine="567"/>
        <w:jc w:val="both"/>
        <w:rPr>
          <w:rFonts w:ascii="Times New Roman" w:hAnsi="Times New Roman" w:cs="Times New Roman"/>
          <w:sz w:val="28"/>
          <w:szCs w:val="28"/>
        </w:rPr>
      </w:pPr>
    </w:p>
    <w:p w14:paraId="111C18FA">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Інформаційні ресурси</w:t>
      </w:r>
    </w:p>
    <w:p w14:paraId="508D6760">
      <w:pPr>
        <w:pStyle w:val="8"/>
        <w:tabs>
          <w:tab w:val="left" w:pos="709"/>
          <w:tab w:val="left" w:pos="993"/>
        </w:tabs>
        <w:ind w:left="0" w:firstLine="567"/>
        <w:rPr>
          <w:sz w:val="28"/>
          <w:szCs w:val="28"/>
        </w:rPr>
      </w:pPr>
      <w:r>
        <w:rPr>
          <w:sz w:val="28"/>
          <w:szCs w:val="28"/>
        </w:rPr>
        <w:t>Академічні ресурси:</w:t>
      </w:r>
    </w:p>
    <w:p w14:paraId="0D82F7D6">
      <w:pPr>
        <w:pStyle w:val="8"/>
        <w:tabs>
          <w:tab w:val="left" w:pos="709"/>
          <w:tab w:val="left" w:pos="993"/>
        </w:tabs>
        <w:ind w:left="0" w:firstLine="567"/>
        <w:rPr>
          <w:sz w:val="28"/>
          <w:szCs w:val="28"/>
        </w:rPr>
      </w:pPr>
      <w:r>
        <w:rPr>
          <w:sz w:val="28"/>
          <w:szCs w:val="28"/>
        </w:rPr>
        <w:t>1. Репозитарій академічних статей, таких як Google Scholar або ResearchGate, для пошуку актуальних наукових досліджень та публікацій з курсу.</w:t>
      </w:r>
    </w:p>
    <w:p w14:paraId="53287557">
      <w:pPr>
        <w:pStyle w:val="8"/>
        <w:tabs>
          <w:tab w:val="left" w:pos="709"/>
          <w:tab w:val="left" w:pos="993"/>
        </w:tabs>
        <w:ind w:left="0" w:firstLine="567"/>
        <w:rPr>
          <w:sz w:val="28"/>
          <w:szCs w:val="28"/>
        </w:rPr>
      </w:pPr>
      <w:r>
        <w:rPr>
          <w:sz w:val="28"/>
          <w:szCs w:val="28"/>
        </w:rPr>
        <w:t xml:space="preserve">2. Archer – інституційний репозитарій відкритого доступу представників Чернівецького національного університету імені Юрія Федьковича. URL: </w:t>
      </w:r>
      <w:r>
        <w:fldChar w:fldCharType="begin"/>
      </w:r>
      <w:r>
        <w:instrText xml:space="preserve"> HYPERLINK "https://archer.chnu.edu.ua" </w:instrText>
      </w:r>
      <w:r>
        <w:fldChar w:fldCharType="separate"/>
      </w:r>
      <w:r>
        <w:rPr>
          <w:rStyle w:val="5"/>
          <w:sz w:val="28"/>
          <w:szCs w:val="28"/>
        </w:rPr>
        <w:t>https://archer.chnu.edu.ua</w:t>
      </w:r>
      <w:r>
        <w:rPr>
          <w:rStyle w:val="5"/>
          <w:sz w:val="28"/>
          <w:szCs w:val="28"/>
        </w:rPr>
        <w:fldChar w:fldCharType="end"/>
      </w:r>
      <w:r>
        <w:rPr>
          <w:sz w:val="28"/>
          <w:szCs w:val="28"/>
        </w:rPr>
        <w:t>.</w:t>
      </w:r>
    </w:p>
    <w:p w14:paraId="51210B4E">
      <w:pPr>
        <w:pStyle w:val="8"/>
        <w:tabs>
          <w:tab w:val="left" w:pos="709"/>
          <w:tab w:val="left" w:pos="993"/>
        </w:tabs>
        <w:ind w:left="0" w:firstLine="567"/>
        <w:rPr>
          <w:sz w:val="28"/>
          <w:szCs w:val="28"/>
        </w:rPr>
      </w:pPr>
      <w:r>
        <w:rPr>
          <w:sz w:val="28"/>
          <w:szCs w:val="28"/>
        </w:rPr>
        <w:t>Офіційні сайти органів державного управління України:</w:t>
      </w:r>
    </w:p>
    <w:p w14:paraId="63636690">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Верховної Ради України. </w:t>
      </w:r>
      <w:r>
        <w:rPr>
          <w:sz w:val="28"/>
        </w:rPr>
        <w:t>URL:</w:t>
      </w:r>
      <w:r>
        <w:rPr>
          <w:sz w:val="28"/>
          <w:szCs w:val="28"/>
        </w:rPr>
        <w:t xml:space="preserve"> </w:t>
      </w:r>
      <w:r>
        <w:fldChar w:fldCharType="begin"/>
      </w:r>
      <w:r>
        <w:instrText xml:space="preserve"> HYPERLINK "http://www.rada.gov.ua/" </w:instrText>
      </w:r>
      <w:r>
        <w:fldChar w:fldCharType="separate"/>
      </w:r>
      <w:r>
        <w:rPr>
          <w:rStyle w:val="5"/>
          <w:sz w:val="28"/>
        </w:rPr>
        <w:t>www.rada.gov.ua</w:t>
      </w:r>
      <w:r>
        <w:rPr>
          <w:rStyle w:val="5"/>
          <w:sz w:val="28"/>
          <w:lang w:val="en-US"/>
        </w:rPr>
        <w:t>/</w:t>
      </w:r>
      <w:r>
        <w:rPr>
          <w:rStyle w:val="5"/>
          <w:sz w:val="28"/>
          <w:lang w:val="en-US"/>
        </w:rPr>
        <w:fldChar w:fldCharType="end"/>
      </w:r>
      <w:r>
        <w:rPr>
          <w:sz w:val="28"/>
          <w:szCs w:val="28"/>
        </w:rPr>
        <w:t xml:space="preserve">.  </w:t>
      </w:r>
    </w:p>
    <w:p w14:paraId="395B5FBB">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Pr>
          <w:sz w:val="28"/>
        </w:rPr>
        <w:t xml:space="preserve">URL: </w:t>
      </w:r>
      <w:r>
        <w:fldChar w:fldCharType="begin"/>
      </w:r>
      <w:r>
        <w:instrText xml:space="preserve"> HYPERLINK "https://www.kmu.gov.ua" </w:instrText>
      </w:r>
      <w:r>
        <w:fldChar w:fldCharType="separate"/>
      </w:r>
      <w:r>
        <w:rPr>
          <w:rStyle w:val="5"/>
          <w:sz w:val="28"/>
        </w:rPr>
        <w:t>https://www.kmu.gov.ua</w:t>
      </w:r>
      <w:r>
        <w:rPr>
          <w:rStyle w:val="5"/>
          <w:sz w:val="28"/>
        </w:rPr>
        <w:fldChar w:fldCharType="end"/>
      </w:r>
      <w:r>
        <w:rPr>
          <w:sz w:val="28"/>
        </w:rPr>
        <w:t xml:space="preserve">. </w:t>
      </w:r>
    </w:p>
    <w:p w14:paraId="2370C2CC">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Pr>
          <w:sz w:val="28"/>
        </w:rPr>
        <w:t xml:space="preserve">URL: </w:t>
      </w:r>
      <w:r>
        <w:fldChar w:fldCharType="begin"/>
      </w:r>
      <w:r>
        <w:instrText xml:space="preserve"> HYPERLINK "https://www.treasury.gov.ua" </w:instrText>
      </w:r>
      <w:r>
        <w:fldChar w:fldCharType="separate"/>
      </w:r>
      <w:r>
        <w:rPr>
          <w:rStyle w:val="5"/>
          <w:sz w:val="28"/>
        </w:rPr>
        <w:t>https://www.treasury.gov.ua</w:t>
      </w:r>
      <w:r>
        <w:rPr>
          <w:rStyle w:val="5"/>
          <w:sz w:val="28"/>
        </w:rPr>
        <w:fldChar w:fldCharType="end"/>
      </w:r>
      <w:r>
        <w:rPr>
          <w:sz w:val="28"/>
        </w:rPr>
        <w:t xml:space="preserve">. </w:t>
      </w:r>
    </w:p>
    <w:p w14:paraId="48937070">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Pr>
          <w:sz w:val="28"/>
        </w:rPr>
        <w:t xml:space="preserve">URL: </w:t>
      </w:r>
      <w:r>
        <w:fldChar w:fldCharType="begin"/>
      </w:r>
      <w:r>
        <w:instrText xml:space="preserve"> HYPERLINK "https://customs.gov.ua" </w:instrText>
      </w:r>
      <w:r>
        <w:fldChar w:fldCharType="separate"/>
      </w:r>
      <w:r>
        <w:rPr>
          <w:rStyle w:val="5"/>
          <w:sz w:val="28"/>
        </w:rPr>
        <w:t>https://customs.gov.ua</w:t>
      </w:r>
      <w:r>
        <w:rPr>
          <w:rStyle w:val="5"/>
          <w:sz w:val="28"/>
        </w:rPr>
        <w:fldChar w:fldCharType="end"/>
      </w:r>
      <w:r>
        <w:rPr>
          <w:sz w:val="28"/>
        </w:rPr>
        <w:t xml:space="preserve">. </w:t>
      </w:r>
    </w:p>
    <w:p w14:paraId="4115571B">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Pr>
          <w:sz w:val="28"/>
        </w:rPr>
        <w:t xml:space="preserve">URL: </w:t>
      </w:r>
      <w:r>
        <w:fldChar w:fldCharType="begin"/>
      </w:r>
      <w:r>
        <w:instrText xml:space="preserve"> HYPERLINK "https://tax.gov.ua" </w:instrText>
      </w:r>
      <w:r>
        <w:fldChar w:fldCharType="separate"/>
      </w:r>
      <w:r>
        <w:rPr>
          <w:rStyle w:val="5"/>
          <w:sz w:val="28"/>
        </w:rPr>
        <w:t>https://tax.gov.ua</w:t>
      </w:r>
      <w:r>
        <w:rPr>
          <w:rStyle w:val="5"/>
          <w:sz w:val="28"/>
        </w:rPr>
        <w:fldChar w:fldCharType="end"/>
      </w:r>
      <w:r>
        <w:rPr>
          <w:sz w:val="28"/>
        </w:rPr>
        <w:t xml:space="preserve">. </w:t>
      </w:r>
    </w:p>
    <w:p w14:paraId="16AC9C68">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Міністерства фінансів України. </w:t>
      </w:r>
      <w:r>
        <w:rPr>
          <w:sz w:val="28"/>
        </w:rPr>
        <w:t xml:space="preserve">URL: </w:t>
      </w:r>
      <w:r>
        <w:fldChar w:fldCharType="begin"/>
      </w:r>
      <w:r>
        <w:instrText xml:space="preserve"> HYPERLINK "http://www.minfin.gov.ua" </w:instrText>
      </w:r>
      <w:r>
        <w:fldChar w:fldCharType="separate"/>
      </w:r>
      <w:r>
        <w:rPr>
          <w:rStyle w:val="5"/>
          <w:sz w:val="28"/>
          <w:szCs w:val="28"/>
        </w:rPr>
        <w:t>www.minfin.gov.ua</w:t>
      </w:r>
      <w:r>
        <w:rPr>
          <w:rStyle w:val="5"/>
          <w:sz w:val="28"/>
          <w:szCs w:val="28"/>
        </w:rPr>
        <w:fldChar w:fldCharType="end"/>
      </w:r>
      <w:r>
        <w:rPr>
          <w:sz w:val="28"/>
        </w:rPr>
        <w:t xml:space="preserve">. </w:t>
      </w:r>
    </w:p>
    <w:p w14:paraId="00FE48E4">
      <w:pPr>
        <w:widowControl w:val="0"/>
        <w:spacing w:after="0" w:line="240" w:lineRule="auto"/>
        <w:jc w:val="both"/>
        <w:rPr>
          <w:rFonts w:ascii="Times New Roman" w:hAnsi="Times New Roman" w:cs="Times New Roman"/>
          <w:sz w:val="28"/>
          <w:szCs w:val="28"/>
        </w:rPr>
      </w:pPr>
    </w:p>
    <w:p w14:paraId="06E9A18D">
      <w:pPr>
        <w:widowControl w:val="0"/>
        <w:spacing w:after="0" w:line="240" w:lineRule="auto"/>
        <w:jc w:val="both"/>
        <w:rPr>
          <w:rFonts w:ascii="Times New Roman" w:hAnsi="Times New Roman" w:cs="Times New Roman"/>
          <w:sz w:val="28"/>
          <w:szCs w:val="28"/>
        </w:rPr>
      </w:pPr>
    </w:p>
    <w:p w14:paraId="68D32681">
      <w:pPr>
        <w:widowControl w:val="0"/>
        <w:spacing w:after="0" w:line="240" w:lineRule="auto"/>
        <w:jc w:val="center"/>
        <w:rPr>
          <w:rFonts w:ascii="Times New Roman" w:hAnsi="Times New Roman" w:cs="Times New Roman"/>
          <w:sz w:val="28"/>
          <w:szCs w:val="28"/>
        </w:rPr>
      </w:pPr>
      <w:r>
        <w:rPr>
          <w:rFonts w:ascii="Times New Roman" w:hAnsi="Times New Roman"/>
          <w:b/>
          <w:bCs/>
          <w:i/>
          <w:iCs/>
          <w:sz w:val="28"/>
          <w:szCs w:val="28"/>
        </w:rPr>
        <w:t>Детальна інформація щодо вивчення курсу «Міжнародні стандарти фінансової звітності»</w:t>
      </w:r>
      <w:r>
        <w:rPr>
          <w:rFonts w:ascii="Times New Roman" w:hAnsi="Times New Roman"/>
          <w:bCs/>
          <w:i/>
          <w:iCs/>
          <w:sz w:val="28"/>
          <w:szCs w:val="28"/>
        </w:rPr>
        <w:t xml:space="preserve"> </w:t>
      </w:r>
      <w:r>
        <w:rPr>
          <w:rFonts w:ascii="Times New Roman" w:hAnsi="Times New Roman"/>
          <w:b/>
          <w:bCs/>
          <w:i/>
          <w:iCs/>
          <w:sz w:val="28"/>
          <w:szCs w:val="28"/>
        </w:rPr>
        <w:t>висвітлена у робочій програмі навчальної дисципліни</w:t>
      </w:r>
    </w:p>
    <w:p w14:paraId="570FAFD9">
      <w:pPr>
        <w:pStyle w:val="8"/>
        <w:tabs>
          <w:tab w:val="left" w:pos="0"/>
        </w:tabs>
        <w:ind w:left="0"/>
        <w:jc w:val="center"/>
        <w:rPr>
          <w:bCs/>
          <w:i/>
          <w:iCs/>
          <w:color w:val="000000" w:themeColor="text1"/>
          <w:sz w:val="28"/>
          <w:szCs w:val="28"/>
          <w14:textFill>
            <w14:solidFill>
              <w14:schemeClr w14:val="tx1"/>
            </w14:solidFill>
          </w14:textFill>
        </w:rPr>
      </w:pPr>
      <w:r>
        <w:rPr>
          <w:rFonts w:eastAsia="+mn-ea"/>
          <w:i/>
          <w:iCs/>
          <w:color w:val="0070C0"/>
          <w:kern w:val="24"/>
          <w:sz w:val="28"/>
          <w:szCs w:val="28"/>
        </w:rPr>
        <w:t>(https://accounting.chnu.edu.ua/diialnist/osvitnia/osvitni-prohramy/bakalavr/robochi-prohramy/</w:t>
      </w:r>
      <w:r>
        <w:rPr>
          <w:rFonts w:eastAsia="+mn-ea"/>
          <w:i/>
          <w:iCs/>
          <w:color w:val="0070C0"/>
          <w:kern w:val="24"/>
          <w:sz w:val="28"/>
          <w:szCs w:val="28"/>
          <w:u w:val="single"/>
        </w:rPr>
        <w:t>)</w:t>
      </w:r>
    </w:p>
    <w:p w14:paraId="3205231F">
      <w:pPr>
        <w:widowControl w:val="0"/>
        <w:spacing w:after="0" w:line="240" w:lineRule="auto"/>
        <w:jc w:val="both"/>
        <w:rPr>
          <w:rFonts w:ascii="Times New Roman" w:hAnsi="Times New Roman" w:cs="Times New Roman"/>
          <w:sz w:val="28"/>
          <w:szCs w:val="28"/>
        </w:rPr>
      </w:pPr>
    </w:p>
    <w:p w14:paraId="623CF8D9">
      <w:pPr>
        <w:widowControl w:val="0"/>
        <w:spacing w:after="0" w:line="240" w:lineRule="auto"/>
        <w:jc w:val="both"/>
        <w:rPr>
          <w:rFonts w:ascii="Times New Roman" w:hAnsi="Times New Roman" w:cs="Times New Roman"/>
          <w:sz w:val="28"/>
          <w:szCs w:val="28"/>
        </w:rPr>
      </w:pPr>
    </w:p>
    <w:p w14:paraId="1305AA06">
      <w:pPr>
        <w:widowControl w:val="0"/>
        <w:spacing w:after="0" w:line="240" w:lineRule="auto"/>
        <w:jc w:val="both"/>
        <w:rPr>
          <w:rFonts w:ascii="Times New Roman" w:hAnsi="Times New Roman" w:cs="Times New Roman"/>
          <w:sz w:val="28"/>
          <w:szCs w:val="28"/>
        </w:rPr>
      </w:pPr>
    </w:p>
    <w:p w14:paraId="48A34D95">
      <w:pPr>
        <w:widowControl w:val="0"/>
        <w:spacing w:after="0" w:line="240" w:lineRule="auto"/>
        <w:jc w:val="both"/>
        <w:rPr>
          <w:rFonts w:ascii="Times New Roman" w:hAnsi="Times New Roman" w:cs="Times New Roman"/>
          <w:sz w:val="28"/>
          <w:szCs w:val="28"/>
        </w:rPr>
      </w:pPr>
    </w:p>
    <w:p w14:paraId="0D44D672">
      <w:pPr>
        <w:widowControl w:val="0"/>
        <w:spacing w:after="0" w:line="240" w:lineRule="auto"/>
        <w:jc w:val="both"/>
        <w:rPr>
          <w:rFonts w:ascii="Times New Roman" w:hAnsi="Times New Roman" w:cs="Times New Roman"/>
          <w:sz w:val="28"/>
          <w:szCs w:val="28"/>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Semilight">
    <w:panose1 w:val="020B0502040204020203"/>
    <w:charset w:val="81"/>
    <w:family w:val="swiss"/>
    <w:pitch w:val="default"/>
    <w:sig w:usb0="900002AF" w:usb1="01D77CFB" w:usb2="00000012" w:usb3="00000000" w:csb0="203E01BD" w:csb1="D7FF0000"/>
  </w:font>
  <w:font w:name="Arial Unicode MS">
    <w:altName w:val="Arial"/>
    <w:panose1 w:val="020B0604020202020204"/>
    <w:charset w:val="80"/>
    <w:family w:val="swiss"/>
    <w:pitch w:val="default"/>
    <w:sig w:usb0="00000000" w:usb1="00000000" w:usb2="0000003F" w:usb3="00000000" w:csb0="003F01FF" w:csb1="00000000"/>
  </w:font>
  <w:font w:name="+mn-e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E52B9"/>
    <w:multiLevelType w:val="multilevel"/>
    <w:tmpl w:val="031E52B9"/>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31D16957"/>
    <w:multiLevelType w:val="multilevel"/>
    <w:tmpl w:val="31D16957"/>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0D5A91"/>
    <w:rsid w:val="001063FA"/>
    <w:rsid w:val="002E5CD8"/>
    <w:rsid w:val="004139CC"/>
    <w:rsid w:val="00427B40"/>
    <w:rsid w:val="00486B62"/>
    <w:rsid w:val="005961AA"/>
    <w:rsid w:val="00672B4B"/>
    <w:rsid w:val="006A0000"/>
    <w:rsid w:val="007E2A31"/>
    <w:rsid w:val="00874AB2"/>
    <w:rsid w:val="009852F3"/>
    <w:rsid w:val="009876D7"/>
    <w:rsid w:val="009B2B9B"/>
    <w:rsid w:val="00D3198C"/>
    <w:rsid w:val="00D96168"/>
    <w:rsid w:val="00E34EE3"/>
    <w:rsid w:val="00EC155A"/>
    <w:rsid w:val="00EE2923"/>
    <w:rsid w:val="00EE6408"/>
    <w:rsid w:val="00EF7B16"/>
    <w:rsid w:val="00F1290D"/>
    <w:rsid w:val="00F603A2"/>
    <w:rsid w:val="722A5D0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1"/>
    <w:pPr>
      <w:widowControl w:val="0"/>
      <w:autoSpaceDE w:val="0"/>
      <w:autoSpaceDN w:val="0"/>
      <w:spacing w:after="0" w:line="240" w:lineRule="auto"/>
      <w:ind w:left="859" w:hanging="360"/>
      <w:jc w:val="both"/>
    </w:pPr>
    <w:rPr>
      <w:rFonts w:ascii="Times New Roman" w:hAnsi="Times New Roman" w:eastAsia="Times New Roman" w:cs="Times New Roman"/>
    </w:rPr>
  </w:style>
  <w:style w:type="character" w:customStyle="1" w:styleId="9">
    <w:name w:val="Абзац списка Знак"/>
    <w:link w:val="8"/>
    <w:qFormat/>
    <w:locked/>
    <w:uiPriority w:val="34"/>
    <w:rPr>
      <w:rFonts w:ascii="Times New Roman" w:hAnsi="Times New Roman" w:eastAsia="Times New Roman" w:cs="Times New Roman"/>
    </w:rPr>
  </w:style>
  <w:style w:type="paragraph" w:customStyle="1" w:styleId="1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4326</Words>
  <Characters>2466</Characters>
  <Lines>20</Lines>
  <Paragraphs>13</Paragraphs>
  <TotalTime>0</TotalTime>
  <ScaleCrop>false</ScaleCrop>
  <LinksUpToDate>false</LinksUpToDate>
  <CharactersWithSpaces>6779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2024-08-07T10:36:00Z</dcterms:created>
  <dc:creator>User</dc:creator>
  <cp:lastModifiedBy>ttana</cp:lastModifiedBy>
  <dcterms:modified xsi:type="dcterms:W3CDTF">2025-10-09T18:46:03Z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B1186D91CE0A43F99BC4808164976509_12</vt:lpwstr>
  </property>
</Properties>
</file>