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C2" w:rsidRDefault="00DB30C2" w:rsidP="00DB3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95A65DA" wp14:editId="0C023118">
            <wp:simplePos x="0" y="0"/>
            <wp:positionH relativeFrom="column">
              <wp:posOffset>-621987</wp:posOffset>
            </wp:positionH>
            <wp:positionV relativeFrom="paragraph">
              <wp:posOffset>-318201</wp:posOffset>
            </wp:positionV>
            <wp:extent cx="1174090" cy="11628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СИЛАБУС</w:t>
      </w:r>
      <w:proofErr w:type="spellEnd"/>
    </w:p>
    <w:p w:rsidR="00DB30C2" w:rsidRPr="00BD3CDA" w:rsidRDefault="00DB30C2" w:rsidP="00DB3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компоненти освітньої програми</w:t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B30C2" w:rsidRPr="00BD3CDA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DB30C2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Pr="00BE19BD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ВИРОБНИЧ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А </w:t>
      </w:r>
      <w:r w:rsidRPr="00BE19BD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ПРАКТИК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А</w:t>
      </w:r>
      <w:r w:rsidRPr="00BE19BD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З «ФІНАНСОВОГО ОБЛІКУ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DB30C2" w:rsidRPr="00BD3CDA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DB30C2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DB30C2" w:rsidRPr="00BD3CDA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 Облік і оподаткування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DB30C2" w:rsidRPr="00BD3CDA" w:rsidRDefault="00DB30C2" w:rsidP="00CD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07 Управління </w:t>
            </w:r>
            <w:r w:rsidR="00CD654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викладачів</w:t>
            </w:r>
          </w:p>
        </w:tc>
        <w:tc>
          <w:tcPr>
            <w:tcW w:w="6345" w:type="dxa"/>
          </w:tcPr>
          <w:p w:rsidR="00DB30C2" w:rsidRPr="000E657C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доцент, </w:t>
            </w:r>
            <w:proofErr w:type="spellStart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</w:p>
          <w:p w:rsidR="00DB30C2" w:rsidRPr="000E657C" w:rsidRDefault="008E44B9" w:rsidP="000874A9">
            <w:pPr>
              <w:rPr>
                <w:rFonts w:ascii="Times New Roman" w:hAnsi="Times New Roman" w:cs="Times New Roman"/>
                <w:color w:val="0000FF" w:themeColor="hyperlink"/>
                <w:kern w:val="24"/>
                <w:sz w:val="28"/>
                <w:szCs w:val="28"/>
                <w:u w:val="single"/>
              </w:rPr>
            </w:pPr>
            <w:hyperlink r:id="rId7" w:history="1">
              <w:r w:rsidR="00DB30C2" w:rsidRPr="00BD3CDA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http://econom.chnu.edu.ua/kafedry-ekonomichnogo-fakultetu/kafedra-obliku-analizu-i-audytu/kolektyv-kafedry/kostash-tetyana-viktorivna</w:t>
              </w:r>
            </w:hyperlink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0991907320</w:t>
            </w: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t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kostash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@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chu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edu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DB30C2" w:rsidRPr="00BD3CDA" w:rsidTr="000874A9">
        <w:tc>
          <w:tcPr>
            <w:tcW w:w="3510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DB30C2" w:rsidRPr="00BD3CDA" w:rsidRDefault="00DB30C2" w:rsidP="0008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За графіком</w:t>
            </w:r>
          </w:p>
        </w:tc>
      </w:tr>
    </w:tbl>
    <w:p w:rsidR="00DB30C2" w:rsidRDefault="00DB30C2" w:rsidP="00DB3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0C2" w:rsidRDefault="00DB30C2" w:rsidP="00DB30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АНОТАЦІЯ </w:t>
      </w:r>
      <w:r w:rsidRPr="000E657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КОМПОНЕНТИ ОСВІТНЬОЇ ПРОГРАМИ</w:t>
      </w:r>
    </w:p>
    <w:p w:rsidR="00694091" w:rsidRPr="00DB30C2" w:rsidRDefault="00DB30C2" w:rsidP="00DB3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Компонента освітньої програми</w:t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 xml:space="preserve"> «</w:t>
      </w:r>
      <w:r w:rsidRPr="00DB30C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Виробнича практика з </w:t>
      </w:r>
      <w:r w:rsidR="00D50A7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ф</w:t>
      </w:r>
      <w:r w:rsidRPr="00DB30C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інансового обліку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</w:t>
      </w:r>
      <w:r w:rsidRPr="00DB30C2">
        <w:t xml:space="preserve"> </w:t>
      </w:r>
      <w:r w:rsidRPr="00DB30C2">
        <w:rPr>
          <w:rFonts w:ascii="Times New Roman" w:hAnsi="Times New Roman" w:cs="Times New Roman"/>
          <w:sz w:val="28"/>
          <w:szCs w:val="28"/>
        </w:rPr>
        <w:t xml:space="preserve">набуття </w:t>
      </w:r>
      <w:r>
        <w:rPr>
          <w:rFonts w:ascii="Times New Roman" w:hAnsi="Times New Roman" w:cs="Times New Roman"/>
          <w:sz w:val="28"/>
          <w:szCs w:val="28"/>
        </w:rPr>
        <w:t xml:space="preserve">здобувачами </w:t>
      </w:r>
      <w:r w:rsidRPr="00DB30C2">
        <w:rPr>
          <w:rFonts w:ascii="Times New Roman" w:hAnsi="Times New Roman" w:cs="Times New Roman"/>
          <w:sz w:val="28"/>
          <w:szCs w:val="28"/>
        </w:rPr>
        <w:t>професійних навичок і умінь, оволодіння сучасними методами, формами організації майбутньої професії, формування навичок для прийняття самостійних рішень під час конкретної роботи в реальних ринкових виробничих умовах, виховання потреби систематично поновлювати свої знання та творчо їх застосовувати в практичній діяльності.</w:t>
      </w:r>
    </w:p>
    <w:p w:rsidR="00DB30C2" w:rsidRDefault="00B515AB" w:rsidP="00DB3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5AB">
        <w:rPr>
          <w:rFonts w:ascii="Times New Roman" w:hAnsi="Times New Roman" w:cs="Times New Roman"/>
          <w:sz w:val="28"/>
          <w:szCs w:val="28"/>
        </w:rPr>
        <w:t xml:space="preserve">Мета освітньої </w:t>
      </w:r>
      <w:r w:rsidR="008E44B9" w:rsidRPr="008E44B9">
        <w:rPr>
          <w:rFonts w:ascii="Times New Roman" w:hAnsi="Times New Roman" w:cs="Times New Roman"/>
          <w:sz w:val="28"/>
          <w:szCs w:val="28"/>
        </w:rPr>
        <w:t xml:space="preserve">компоненти «Виробнича практика з «Фінансового обліку»: </w:t>
      </w:r>
      <w:bookmarkStart w:id="0" w:name="_GoBack"/>
      <w:bookmarkEnd w:id="0"/>
      <w:r w:rsidR="00DB30C2" w:rsidRPr="00DB30C2">
        <w:rPr>
          <w:rFonts w:ascii="Times New Roman" w:hAnsi="Times New Roman" w:cs="Times New Roman"/>
          <w:sz w:val="28"/>
          <w:szCs w:val="28"/>
        </w:rPr>
        <w:t xml:space="preserve"> систематизація, закріплення та поглиблення теоретичних та практичних знань з фінансового та податкового обліку, звітності,  застосовування їх для вирішення конкретних облікових задач; придбання професійних умінь та практичних навичок організації й техніки ведення бухгалтерського обліку, складання звітності; накопичення досвіду практичної роботи зі спеціальності та вміння використовувати знання в реальних бізнес-умовах, що постійно змінюються; розвиток професійних якостей особистості майбутнього фахівця, його пізнавальної активності, оволодіння методикою узагальнення та логічного викладення результатів дослідження.</w:t>
      </w:r>
    </w:p>
    <w:p w:rsidR="00B515AB" w:rsidRDefault="00B515AB" w:rsidP="00DB3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15AB" w:rsidRPr="007F0A4E" w:rsidRDefault="00B515AB" w:rsidP="00B515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9149"/>
      </w:tblGrid>
      <w:tr w:rsidR="00B515AB" w:rsidRPr="007F0A4E" w:rsidTr="000874A9">
        <w:tc>
          <w:tcPr>
            <w:tcW w:w="9855" w:type="dxa"/>
            <w:gridSpan w:val="2"/>
          </w:tcPr>
          <w:p w:rsidR="00B515AB" w:rsidRPr="007D24B3" w:rsidRDefault="00B515AB" w:rsidP="000874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5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Розділ І. Загальна характеристика підприємства</w:t>
            </w:r>
          </w:p>
        </w:tc>
      </w:tr>
      <w:tr w:rsidR="00B515AB" w:rsidRPr="007F0A4E" w:rsidTr="005E4100">
        <w:tc>
          <w:tcPr>
            <w:tcW w:w="706" w:type="dxa"/>
          </w:tcPr>
          <w:p w:rsidR="00B515AB" w:rsidRPr="00006DD6" w:rsidRDefault="00B515AB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5E41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49" w:type="dxa"/>
          </w:tcPr>
          <w:p w:rsidR="00B515AB" w:rsidRPr="007D24B3" w:rsidRDefault="00B515AB" w:rsidP="00087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Техніко-економічна характеристика підприємства</w:t>
            </w:r>
          </w:p>
        </w:tc>
      </w:tr>
      <w:tr w:rsidR="00B515AB" w:rsidRPr="007F0A4E" w:rsidTr="005E4100">
        <w:tc>
          <w:tcPr>
            <w:tcW w:w="706" w:type="dxa"/>
          </w:tcPr>
          <w:p w:rsidR="00B515AB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1.2</w:t>
            </w:r>
          </w:p>
        </w:tc>
        <w:tc>
          <w:tcPr>
            <w:tcW w:w="9149" w:type="dxa"/>
          </w:tcPr>
          <w:p w:rsidR="00B515AB" w:rsidRPr="007D24B3" w:rsidRDefault="00B515AB" w:rsidP="00087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Організація бухгалтерського обліку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49" w:type="dxa"/>
          </w:tcPr>
          <w:p w:rsidR="005E4100" w:rsidRPr="005E4100" w:rsidRDefault="005E4100" w:rsidP="005E41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Розділ  ІІ. Фінансовий облік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Облік грошових коштів на рахунках у банку та касі підприємства 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розрахункових і кредитних операцій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оплати праці та розрахунків з працівниками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власного капіталу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основних засобів, нематеріальних та інших необоротних активів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запасів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фінансових інвестицій та цінних паперів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витрат на виробництво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витрат діяльності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готової продукції та її реалізації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006DD6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фінансових результатів та використання прибутку</w:t>
            </w:r>
          </w:p>
        </w:tc>
      </w:tr>
      <w:tr w:rsidR="005E4100" w:rsidRPr="007F0A4E" w:rsidTr="00CA175B">
        <w:tc>
          <w:tcPr>
            <w:tcW w:w="9855" w:type="dxa"/>
            <w:gridSpan w:val="2"/>
          </w:tcPr>
          <w:p w:rsidR="005E4100" w:rsidRPr="005E4100" w:rsidRDefault="005E4100" w:rsidP="005E4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b/>
                <w:sz w:val="28"/>
                <w:szCs w:val="28"/>
              </w:rPr>
              <w:t>Розділ ІІІ. Податковий облік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5E4100" w:rsidRDefault="005E4100" w:rsidP="000874A9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 організації податкового обліку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5E4100" w:rsidRDefault="005E4100" w:rsidP="000874A9">
            <w:pPr>
              <w:spacing w:line="21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1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Облік розрахунків з бюджетом та за позабюджетними платежами</w:t>
            </w:r>
          </w:p>
        </w:tc>
      </w:tr>
      <w:tr w:rsidR="005E4100" w:rsidRPr="007F0A4E" w:rsidTr="00E71125">
        <w:tc>
          <w:tcPr>
            <w:tcW w:w="9855" w:type="dxa"/>
            <w:gridSpan w:val="2"/>
          </w:tcPr>
          <w:p w:rsidR="005E4100" w:rsidRPr="005E4100" w:rsidRDefault="005E4100" w:rsidP="005E41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b/>
                <w:sz w:val="28"/>
                <w:szCs w:val="28"/>
              </w:rPr>
              <w:t>Розділ ІV. Складання фінансової звітності</w:t>
            </w:r>
          </w:p>
        </w:tc>
      </w:tr>
      <w:tr w:rsidR="005E4100" w:rsidRPr="007F0A4E" w:rsidTr="005E4100">
        <w:tc>
          <w:tcPr>
            <w:tcW w:w="706" w:type="dxa"/>
          </w:tcPr>
          <w:p w:rsidR="005E4100" w:rsidRPr="005E4100" w:rsidRDefault="005E4100" w:rsidP="000874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149" w:type="dxa"/>
          </w:tcPr>
          <w:p w:rsidR="005E4100" w:rsidRPr="005E4100" w:rsidRDefault="005E4100" w:rsidP="005E41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100">
              <w:rPr>
                <w:rFonts w:ascii="Times New Roman" w:hAnsi="Times New Roman" w:cs="Times New Roman"/>
                <w:sz w:val="28"/>
                <w:szCs w:val="28"/>
              </w:rPr>
              <w:t>Складання фінансової звітності</w:t>
            </w:r>
          </w:p>
        </w:tc>
      </w:tr>
    </w:tbl>
    <w:p w:rsidR="00B515AB" w:rsidRDefault="00B515AB" w:rsidP="00DB3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4B1" w:rsidRPr="004044B1" w:rsidRDefault="004044B1" w:rsidP="004044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4B1">
        <w:rPr>
          <w:rFonts w:ascii="Times New Roman" w:hAnsi="Times New Roman" w:cs="Times New Roman"/>
          <w:b/>
          <w:sz w:val="28"/>
          <w:szCs w:val="28"/>
        </w:rPr>
        <w:t>ОСВІТНІ ТЕХНОЛОГІЇ, ФОРМИ ТА МЕТОДИ НАВЧАННЯ</w:t>
      </w:r>
    </w:p>
    <w:p w:rsidR="005E4100" w:rsidRDefault="004044B1" w:rsidP="00DB3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4B1">
        <w:rPr>
          <w:rFonts w:ascii="Times New Roman" w:hAnsi="Times New Roman" w:cs="Times New Roman"/>
          <w:sz w:val="28"/>
          <w:szCs w:val="28"/>
        </w:rPr>
        <w:t xml:space="preserve">У процесі вивчення освітньої компоненти використовуються інноваційні освітні технології: інформаційно-комунікаційні, технології </w:t>
      </w:r>
      <w:proofErr w:type="spellStart"/>
      <w:r w:rsidRPr="004044B1">
        <w:rPr>
          <w:rFonts w:ascii="Times New Roman" w:hAnsi="Times New Roman" w:cs="Times New Roman"/>
          <w:sz w:val="28"/>
          <w:szCs w:val="28"/>
        </w:rPr>
        <w:t>студенто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044B1">
        <w:rPr>
          <w:rFonts w:ascii="Times New Roman" w:hAnsi="Times New Roman" w:cs="Times New Roman"/>
          <w:sz w:val="28"/>
          <w:szCs w:val="28"/>
        </w:rPr>
        <w:t>центрованого</w:t>
      </w:r>
      <w:proofErr w:type="spellEnd"/>
      <w:r w:rsidRPr="004044B1">
        <w:rPr>
          <w:rFonts w:ascii="Times New Roman" w:hAnsi="Times New Roman" w:cs="Times New Roman"/>
          <w:sz w:val="28"/>
          <w:szCs w:val="28"/>
        </w:rPr>
        <w:t xml:space="preserve"> навчання; </w:t>
      </w:r>
      <w:proofErr w:type="spellStart"/>
      <w:r w:rsidRPr="004044B1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4044B1">
        <w:rPr>
          <w:rFonts w:ascii="Times New Roman" w:hAnsi="Times New Roman" w:cs="Times New Roman"/>
          <w:sz w:val="28"/>
          <w:szCs w:val="28"/>
        </w:rPr>
        <w:t xml:space="preserve"> діяльність; традиційні та інтерактивні форми та методи навчання, серед яких:</w:t>
      </w:r>
      <w:r w:rsidRPr="004044B1">
        <w:t xml:space="preserve"> </w:t>
      </w:r>
      <w:r w:rsidRPr="004044B1">
        <w:rPr>
          <w:rFonts w:ascii="Times New Roman" w:hAnsi="Times New Roman" w:cs="Times New Roman"/>
          <w:sz w:val="28"/>
          <w:szCs w:val="28"/>
        </w:rPr>
        <w:t xml:space="preserve">лекція-візуалізація, проблемна лекція, лекція-презентація, бесіда, диспут, пояснення, робота з інформаційними ресурсами (нормативними джерелами, навчально-методичною та науковою літературою), в т.ч. </w:t>
      </w:r>
      <w:proofErr w:type="spellStart"/>
      <w:r w:rsidRPr="004044B1">
        <w:rPr>
          <w:rFonts w:ascii="Times New Roman" w:hAnsi="Times New Roman" w:cs="Times New Roman"/>
          <w:sz w:val="28"/>
          <w:szCs w:val="28"/>
        </w:rPr>
        <w:t>інтернет-ресурсами</w:t>
      </w:r>
      <w:proofErr w:type="spellEnd"/>
      <w:r w:rsidRPr="004044B1">
        <w:rPr>
          <w:rFonts w:ascii="Times New Roman" w:hAnsi="Times New Roman" w:cs="Times New Roman"/>
          <w:sz w:val="28"/>
          <w:szCs w:val="28"/>
        </w:rPr>
        <w:t xml:space="preserve">, самостійно-дослідницька робота над розділами </w:t>
      </w:r>
      <w:r>
        <w:rPr>
          <w:rFonts w:ascii="Times New Roman" w:hAnsi="Times New Roman" w:cs="Times New Roman"/>
          <w:sz w:val="28"/>
          <w:szCs w:val="28"/>
        </w:rPr>
        <w:t>виробничої практики</w:t>
      </w:r>
      <w:r w:rsidRPr="004044B1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4044B1" w:rsidRDefault="004044B1" w:rsidP="00DB3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4B1" w:rsidRDefault="004044B1" w:rsidP="004044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4044B1" w:rsidRDefault="004044B1" w:rsidP="00404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дотримання вимог щодо: </w:t>
      </w:r>
      <w:r w:rsidRPr="004C1E59">
        <w:rPr>
          <w:rFonts w:ascii="Times New Roman" w:hAnsi="Times New Roman" w:cs="Times New Roman"/>
          <w:sz w:val="28"/>
          <w:szCs w:val="28"/>
        </w:rPr>
        <w:t>повнот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1E59">
        <w:rPr>
          <w:rFonts w:ascii="Times New Roman" w:hAnsi="Times New Roman" w:cs="Times New Roman"/>
          <w:sz w:val="28"/>
          <w:szCs w:val="28"/>
        </w:rPr>
        <w:t xml:space="preserve"> розкриття питань, аргументован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C1E59">
        <w:rPr>
          <w:rFonts w:ascii="Times New Roman" w:hAnsi="Times New Roman" w:cs="Times New Roman"/>
          <w:sz w:val="28"/>
          <w:szCs w:val="28"/>
        </w:rPr>
        <w:t xml:space="preserve"> і логік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1E59">
        <w:rPr>
          <w:rFonts w:ascii="Times New Roman" w:hAnsi="Times New Roman" w:cs="Times New Roman"/>
          <w:sz w:val="28"/>
          <w:szCs w:val="28"/>
        </w:rPr>
        <w:t xml:space="preserve"> викладення матеріалу, використання різноманітних джерел, законодавчих актів, фактичного матеріалу тощо; правильн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C1E59">
        <w:rPr>
          <w:rFonts w:ascii="Times New Roman" w:hAnsi="Times New Roman" w:cs="Times New Roman"/>
          <w:sz w:val="28"/>
          <w:szCs w:val="28"/>
        </w:rPr>
        <w:t xml:space="preserve"> проведення розрахунків; цілісн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і, системно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C1E59">
        <w:rPr>
          <w:rFonts w:ascii="Times New Roman" w:hAnsi="Times New Roman" w:cs="Times New Roman"/>
          <w:sz w:val="28"/>
          <w:szCs w:val="28"/>
        </w:rPr>
        <w:t>, логічн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C1E59">
        <w:rPr>
          <w:rFonts w:ascii="Times New Roman" w:hAnsi="Times New Roman" w:cs="Times New Roman"/>
          <w:sz w:val="28"/>
          <w:szCs w:val="28"/>
        </w:rPr>
        <w:t>, уміння формулювати висновки; акуратн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1E59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C1E59">
        <w:rPr>
          <w:rFonts w:ascii="Times New Roman" w:hAnsi="Times New Roman" w:cs="Times New Roman"/>
          <w:sz w:val="28"/>
          <w:szCs w:val="28"/>
        </w:rPr>
        <w:t xml:space="preserve"> оформлення письмової роботи</w:t>
      </w:r>
      <w:r>
        <w:rPr>
          <w:rFonts w:ascii="Times New Roman" w:hAnsi="Times New Roman" w:cs="Times New Roman"/>
          <w:sz w:val="28"/>
          <w:szCs w:val="28"/>
        </w:rPr>
        <w:t xml:space="preserve"> (звіту)</w:t>
      </w:r>
      <w:r w:rsidRPr="004C1E59">
        <w:rPr>
          <w:rFonts w:ascii="Times New Roman" w:hAnsi="Times New Roman" w:cs="Times New Roman"/>
          <w:sz w:val="28"/>
          <w:szCs w:val="28"/>
        </w:rPr>
        <w:t>.</w:t>
      </w:r>
    </w:p>
    <w:p w:rsidR="004044B1" w:rsidRDefault="004044B1" w:rsidP="00404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захист.</w:t>
      </w:r>
    </w:p>
    <w:p w:rsidR="004044B1" w:rsidRDefault="004044B1" w:rsidP="00DB3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44B1" w:rsidRDefault="004044B1" w:rsidP="004044B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4044B1" w:rsidRDefault="004044B1" w:rsidP="00404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Дотримання політики щодо академічної доброчесності учасниками освітнього процесу при вивченні </w:t>
      </w:r>
      <w:r w:rsidR="00D917E3">
        <w:rPr>
          <w:rFonts w:ascii="Times New Roman" w:hAnsi="Times New Roman" w:cs="Times New Roman"/>
          <w:sz w:val="28"/>
          <w:szCs w:val="28"/>
        </w:rPr>
        <w:t>освітньої компоненти</w:t>
      </w:r>
      <w:r>
        <w:rPr>
          <w:rFonts w:ascii="Times New Roman" w:hAnsi="Times New Roman" w:cs="Times New Roman"/>
          <w:sz w:val="28"/>
          <w:szCs w:val="28"/>
        </w:rPr>
        <w:t xml:space="preserve"> регламентовано такими документами:</w:t>
      </w:r>
    </w:p>
    <w:p w:rsidR="004044B1" w:rsidRDefault="004044B1" w:rsidP="004044B1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C4FA9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https://www.chnu.edu.ua/media/xe1lulcg/etychnyi-kodeks-chernivetskoho-natsionalnoho-universytetu.pdf</w:t>
        </w:r>
      </w:hyperlink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4B1" w:rsidRDefault="004044B1" w:rsidP="004044B1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727B8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https://www.chnu.edu.ua/media/n5nbzwgb/polozhennia-chnu-pro-plahiat-2023plusdodatky-31102023.pdf</w:t>
        </w:r>
      </w:hyperlink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4B1" w:rsidRDefault="004044B1" w:rsidP="004044B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044B1" w:rsidRDefault="004044B1" w:rsidP="00404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4044B1" w:rsidRPr="00C84DF7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4044B1" w:rsidRPr="00C84DF7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4044B1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proofErr w:type="spellStart"/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  <w:proofErr w:type="spellEnd"/>
      </w:hyperlink>
    </w:p>
    <w:p w:rsidR="004044B1" w:rsidRPr="00BE0DE8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Сайт Державної служби статистики України : </w:t>
      </w:r>
      <w:hyperlink r:id="rId13" w:history="1">
        <w:r w:rsidRPr="00BE0DE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4044B1" w:rsidRPr="00BE0DE8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</w:t>
      </w:r>
      <w:proofErr w:type="spellStart"/>
      <w:r w:rsidRPr="00C84DF7">
        <w:rPr>
          <w:rFonts w:ascii="Times New Roman" w:eastAsia="Calibri" w:hAnsi="Times New Roman" w:cs="Times New Roman"/>
          <w:sz w:val="28"/>
          <w:szCs w:val="28"/>
        </w:rPr>
        <w:t>МФБ</w:t>
      </w:r>
      <w:proofErr w:type="spellEnd"/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): </w:t>
      </w:r>
      <w:hyperlink r:id="rId14" w:history="1">
        <w:r w:rsidRPr="00BE0DE8">
          <w:rPr>
            <w:rStyle w:val="a3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4044B1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</w:t>
      </w:r>
      <w:proofErr w:type="spellStart"/>
      <w:r w:rsidRPr="00C84DF7">
        <w:rPr>
          <w:rFonts w:ascii="Times New Roman" w:eastAsia="Calibri" w:hAnsi="Times New Roman" w:cs="Times New Roman"/>
          <w:sz w:val="28"/>
          <w:szCs w:val="28"/>
        </w:rPr>
        <w:t>АССА</w:t>
      </w:r>
      <w:proofErr w:type="spellEnd"/>
      <w:r w:rsidRPr="00C84DF7">
        <w:rPr>
          <w:rFonts w:ascii="Times New Roman" w:eastAsia="Calibri" w:hAnsi="Times New Roman" w:cs="Times New Roman"/>
          <w:sz w:val="28"/>
          <w:szCs w:val="28"/>
        </w:rPr>
        <w:t>): https://</w:t>
      </w:r>
      <w:hyperlink r:id="rId15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www.accaglobal.com</w:t>
        </w:r>
      </w:hyperlink>
    </w:p>
    <w:p w:rsidR="004044B1" w:rsidRPr="007F0BB9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D63FA7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:</w:t>
      </w:r>
      <w:r w:rsidRPr="00D63FA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hyperlink r:id="rId16" w:history="1">
        <w:r w:rsidRPr="00D63FA7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4044B1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</w:t>
      </w:r>
      <w:proofErr w:type="spellStart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>інтернет-портал</w:t>
      </w:r>
      <w:proofErr w:type="spellEnd"/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17" w:history="1">
        <w:r w:rsidRPr="007F0BB9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7F0BB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044B1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Національного банку України : </w:t>
      </w:r>
      <w:hyperlink r:id="rId18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044B1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Сайт Пенсійного фонду України : </w:t>
      </w:r>
      <w:hyperlink r:id="rId19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044B1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>«Бухгалтер 911» - інформаційний портал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: </w:t>
      </w:r>
      <w:hyperlink r:id="rId20" w:history="1">
        <w:r w:rsidRPr="005D6989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044B1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Дебет-Кредит: Український бухгалтерський портал : </w:t>
      </w:r>
      <w:hyperlink r:id="rId21" w:history="1">
        <w:r w:rsidRPr="005D6989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5D698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044B1" w:rsidRPr="00060FE2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Газета “Все про бухгалтерський облік” :   </w:t>
      </w:r>
      <w:hyperlink r:id="rId22" w:history="1">
        <w:r w:rsidRPr="00060FE2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</w:t>
      </w:r>
    </w:p>
    <w:p w:rsidR="004044B1" w:rsidRPr="00060FE2" w:rsidRDefault="004044B1" w:rsidP="004044B1">
      <w:pPr>
        <w:tabs>
          <w:tab w:val="num" w:pos="1440"/>
        </w:tabs>
        <w:spacing w:after="0" w:line="240" w:lineRule="auto"/>
        <w:ind w:left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                                                           </w:t>
      </w:r>
      <w:hyperlink r:id="rId23" w:history="1">
        <w:r w:rsidRPr="00060FE2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 w:rsidRPr="00060FE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044B1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70BC9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 w:rsidRPr="00D70BC9"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hyperlink r:id="rId24" w:history="1">
        <w:r w:rsidRPr="00BB63A3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044B1" w:rsidRPr="00552DB7" w:rsidRDefault="004044B1" w:rsidP="004044B1">
      <w:pPr>
        <w:numPr>
          <w:ilvl w:val="0"/>
          <w:numId w:val="2"/>
        </w:numPr>
        <w:tabs>
          <w:tab w:val="clear" w:pos="1440"/>
          <w:tab w:val="num" w:pos="426"/>
          <w:tab w:val="num" w:pos="1080"/>
        </w:tabs>
        <w:spacing w:after="0" w:line="240" w:lineRule="auto"/>
        <w:ind w:hanging="1440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«Б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ухгалтерський сервіс 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«І</w:t>
      </w:r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>нтерактивна бухгалтерія</w:t>
      </w:r>
      <w:r w:rsidRPr="00552DB7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» : </w:t>
      </w:r>
      <w:hyperlink r:id="rId25" w:history="1">
        <w:r w:rsidRPr="00552DB7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https://interbuh.com.ua/ua/</w:t>
        </w:r>
      </w:hyperlink>
      <w:r w:rsidRPr="00552DB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044B1" w:rsidRDefault="004044B1" w:rsidP="00404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44B1" w:rsidRDefault="004044B1" w:rsidP="004044B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727B8">
        <w:rPr>
          <w:rFonts w:ascii="Times New Roman" w:hAnsi="Times New Roman" w:cs="Times New Roman"/>
          <w:b/>
          <w:i/>
          <w:sz w:val="28"/>
          <w:szCs w:val="28"/>
        </w:rPr>
        <w:t xml:space="preserve">Детальна інформація щодо </w:t>
      </w:r>
      <w:r>
        <w:rPr>
          <w:rFonts w:ascii="Times New Roman" w:hAnsi="Times New Roman" w:cs="Times New Roman"/>
          <w:b/>
          <w:i/>
          <w:sz w:val="28"/>
          <w:szCs w:val="28"/>
        </w:rPr>
        <w:t>освітньої компоненти</w:t>
      </w:r>
      <w:r w:rsidRPr="009727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17E3" w:rsidRPr="00D917E3">
        <w:rPr>
          <w:rFonts w:ascii="Times New Roman" w:hAnsi="Times New Roman" w:cs="Times New Roman"/>
          <w:b/>
          <w:i/>
          <w:sz w:val="28"/>
          <w:szCs w:val="28"/>
        </w:rPr>
        <w:t xml:space="preserve">«Виробнича практика з </w:t>
      </w:r>
      <w:r w:rsidR="00D50A7B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="00D917E3" w:rsidRPr="00D917E3">
        <w:rPr>
          <w:rFonts w:ascii="Times New Roman" w:hAnsi="Times New Roman" w:cs="Times New Roman"/>
          <w:b/>
          <w:i/>
          <w:sz w:val="28"/>
          <w:szCs w:val="28"/>
        </w:rPr>
        <w:t>інансового обліку»</w:t>
      </w:r>
      <w:r w:rsidR="00D917E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27B8">
        <w:rPr>
          <w:rFonts w:ascii="Times New Roman" w:hAnsi="Times New Roman" w:cs="Times New Roman"/>
          <w:b/>
          <w:i/>
          <w:sz w:val="28"/>
          <w:szCs w:val="28"/>
        </w:rPr>
        <w:t xml:space="preserve">висвітлена у робочій програмі </w:t>
      </w:r>
      <w:r>
        <w:rPr>
          <w:rFonts w:ascii="Times New Roman" w:hAnsi="Times New Roman" w:cs="Times New Roman"/>
          <w:b/>
          <w:i/>
          <w:sz w:val="28"/>
          <w:szCs w:val="28"/>
        </w:rPr>
        <w:t>компоненти освітньої програми</w:t>
      </w:r>
    </w:p>
    <w:p w:rsidR="004044B1" w:rsidRDefault="004044B1" w:rsidP="004044B1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  <w:r w:rsidRPr="00C84DF7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( </w:t>
      </w:r>
      <w:hyperlink r:id="rId26" w:history="1">
        <w:r w:rsidRPr="00BB63A3">
          <w:rPr>
            <w:rStyle w:val="a3"/>
            <w:rFonts w:ascii="Times New Roman" w:eastAsia="+mn-ea" w:hAnsi="Times New Roman" w:cs="Times New Roman"/>
            <w:i/>
            <w:iCs/>
            <w:kern w:val="24"/>
            <w:sz w:val="28"/>
            <w:szCs w:val="28"/>
          </w:rPr>
          <w:t>https://drive.google.com/drive/folders/1B1pUSSFmyizwUHxYYeVfXv5ydQ28aYqA</w:t>
        </w:r>
      </w:hyperlink>
      <w:r w:rsidRPr="00C84DF7"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  <w:t xml:space="preserve"> )</w:t>
      </w:r>
    </w:p>
    <w:p w:rsidR="004044B1" w:rsidRDefault="004044B1" w:rsidP="004044B1">
      <w:pPr>
        <w:spacing w:after="0" w:line="240" w:lineRule="auto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</w:p>
    <w:p w:rsidR="004044B1" w:rsidRPr="00DB30C2" w:rsidRDefault="004044B1" w:rsidP="00DB30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044B1" w:rsidRPr="00DB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C2"/>
    <w:rsid w:val="004044B1"/>
    <w:rsid w:val="005E4100"/>
    <w:rsid w:val="00694091"/>
    <w:rsid w:val="008E44B9"/>
    <w:rsid w:val="00B515AB"/>
    <w:rsid w:val="00CD6547"/>
    <w:rsid w:val="00D50A7B"/>
    <w:rsid w:val="00D917E3"/>
    <w:rsid w:val="00DB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C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15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04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0C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30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15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0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xe1lulcg/etychnyi-kodeks-chernivetskoho-natsionalnoho-universytetu.pdf" TargetMode="External"/><Relationship Id="rId13" Type="http://schemas.openxmlformats.org/officeDocument/2006/relationships/hyperlink" Target="https://www.ukrstat.gov.ua/" TargetMode="External"/><Relationship Id="rId18" Type="http://schemas.openxmlformats.org/officeDocument/2006/relationships/hyperlink" Target="https://bank.gov.ua/" TargetMode="External"/><Relationship Id="rId26" Type="http://schemas.openxmlformats.org/officeDocument/2006/relationships/hyperlink" Target="https://drive.google.com/drive/folders/1B1pUSSFmyizwUHxYYeVfXv5ydQ28aYq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tkt.ua/" TargetMode="External"/><Relationship Id="rId7" Type="http://schemas.openxmlformats.org/officeDocument/2006/relationships/hyperlink" Target="http://econom.chnu.edu.ua/kafedry-ekonomichnogo-fakultetu/kafedra-obliku-analizu-i-audytu/kolektyv-kafedry/kostash-tetyana-viktorivna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hyperlink" Target="https://ibuhgalter.net/" TargetMode="External"/><Relationship Id="rId25" Type="http://schemas.openxmlformats.org/officeDocument/2006/relationships/hyperlink" Target="https://interbuh.com.ua/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.factor.ua/ukr/" TargetMode="External"/><Relationship Id="rId20" Type="http://schemas.openxmlformats.org/officeDocument/2006/relationships/hyperlink" Target="https://buhgalter911.com/uk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f.gov.ua" TargetMode="External"/><Relationship Id="rId24" Type="http://schemas.openxmlformats.org/officeDocument/2006/relationships/hyperlink" Target="https://document.vobu.ua/korysne/blank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caglobal.com" TargetMode="External"/><Relationship Id="rId23" Type="http://schemas.openxmlformats.org/officeDocument/2006/relationships/hyperlink" Target="http://gazeta.vobu.u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akon.rada.gov.ua/laws" TargetMode="External"/><Relationship Id="rId19" Type="http://schemas.openxmlformats.org/officeDocument/2006/relationships/hyperlink" Target="https://www.pf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at-2023plusdodatky-31102023.pdf" TargetMode="External"/><Relationship Id="rId14" Type="http://schemas.openxmlformats.org/officeDocument/2006/relationships/hyperlink" Target="https://www.ifac.org/" TargetMode="External"/><Relationship Id="rId22" Type="http://schemas.openxmlformats.org/officeDocument/2006/relationships/hyperlink" Target="http://vobu.ua/ukr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4398</Words>
  <Characters>2507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4</cp:revision>
  <dcterms:created xsi:type="dcterms:W3CDTF">2024-08-20T17:22:00Z</dcterms:created>
  <dcterms:modified xsi:type="dcterms:W3CDTF">2024-08-31T09:40:00Z</dcterms:modified>
</cp:coreProperties>
</file>