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3"/>
        <w:jc w:val="center"/>
        <w:rPr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«ВСТУП У СПЕЦІАЛЬНІСТЬ»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Компонент освітньої програми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(5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кредитів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9"/>
        <w:gridCol w:w="5775"/>
        <w:tblGridChange w:id="0">
          <w:tblGrid>
            <w:gridCol w:w="3799"/>
            <w:gridCol w:w="5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Бізнес, адміністрування та право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(-ів)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Бак Наталія Андріївна, кандидат економічних наук, доцент кафедри фінансів і кредиту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https://finance.chnu.edu.ua/nasha-kafedra/kolektyv/bak-nataliia-andriivna/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+380507471033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n.bak@chnu.edu.ua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https://moodle.chnu.edu.ua/course/view.php?id=4185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вівторок з 13.00 до 14.00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0" w:right="3" w:firstLine="0"/>
        <w:rPr/>
      </w:pPr>
      <w:r w:rsidDel="00000000" w:rsidR="00000000" w:rsidRPr="00000000">
        <w:rPr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E">
      <w:pPr>
        <w:ind w:right="3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Навчальна дисципліна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«Вступ у спеціальність»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спрямована на формування комплексного уявлення про системоутворюючий потенціал вищої освіти та про функціонування фінансів на різних рівнях національної економіки.</w:t>
      </w:r>
    </w:p>
    <w:p w:rsidR="00000000" w:rsidDel="00000000" w:rsidP="00000000" w:rsidRDefault="00000000" w:rsidRPr="00000000" w14:paraId="0000001F">
      <w:pPr>
        <w:ind w:right="3" w:firstLine="426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Мета навчальної дисципліни:</w:t>
      </w:r>
      <w:r w:rsidDel="00000000" w:rsidR="00000000" w:rsidRPr="00000000">
        <w:rPr>
          <w:sz w:val="24"/>
          <w:szCs w:val="24"/>
          <w:rtl w:val="0"/>
        </w:rPr>
        <w:t xml:space="preserve"> ознайомлення студентів з особливостями організації навчального процесу в закладі вищої освіти, зокрема в Чернівецькому національному університеті імені Юрія Федьковича; формування основ професійного спрямування здобувачів освітньої програми. </w:t>
      </w:r>
    </w:p>
    <w:p w:rsidR="00000000" w:rsidDel="00000000" w:rsidP="00000000" w:rsidRDefault="00000000" w:rsidRPr="00000000" w14:paraId="00000020">
      <w:pPr>
        <w:ind w:right="3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Навчальна дисципліна викладається в першому семестрі та є основою для засвоєння інших обов’язкових освітніх компонент ОП, зокрема «Фінанси», «Фінанси домогосподарств», «Фінанси підприємств», «Банківська система», «Страхування», «Інвестування», «Податкова система», «Бюджетна система», «Фінансовий ринок», а також для проходження навчальної практики.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5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473"/>
        <w:tblGridChange w:id="0">
          <w:tblGrid>
            <w:gridCol w:w="1101"/>
            <w:gridCol w:w="84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1. ОСВІТНІЙ ПРОЦЕС ЯК ОСНОВА ФОРМУВАННЯ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МАЙБУТНЬОГО ФАХІВЦЯ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Болонський процес і вища освіта в Україні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Чернівецький національний університет імені Юрія Федьковича: історія та сьогодення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освітнього процесу в ЧНУ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Навчально-методичне забезпечення освітнього процесу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науково-дослідної роботи студентів у ЧНУ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Академічна доброчесність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МОДУЛЬ 2. ФОРМУВАННЯ ПРОФЕСІЙНОЇ СПРЯМОВАНОСТІ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ЗДОБУВАЧІВ ОП ЗА СПЕЦІАЛЬНІСТЮ 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Фінансист – професія сучасного й майбутнього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Особливості фінансової діяльності суб’єктів господарювання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Фінансове посередництво та його роль у розвитку національної економіки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Інститут держави та фінансова основа його функціонування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Громадянське суспільство та його вплив на професійне зростання фахівців-фінансистів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eogew9ius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ОСВІТНІ ТЕХНОЛОГІЇ, ФОРМИ ТА МЕТОДИ НАВЧАННЯ</w:t>
      </w:r>
    </w:p>
    <w:p w:rsidR="00000000" w:rsidDel="00000000" w:rsidP="00000000" w:rsidRDefault="00000000" w:rsidRPr="00000000" w14:paraId="00000041">
      <w:pPr>
        <w:ind w:right="3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студентоцентрованого навчання; проєктна діяльність), традиційні та інтерактивні форми і методи навчання 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p w:rsidR="00000000" w:rsidDel="00000000" w:rsidP="00000000" w:rsidRDefault="00000000" w:rsidRPr="00000000" w14:paraId="00000042">
      <w:pPr>
        <w:ind w:right="3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0znb9ro90t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проєкт, презентація тощо.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залік.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ЄКТС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https://www.chnu.edu.ua/universytet/normatyvni-dokumenty/etychnyi-kodeks-chernivetskoho-natsionalnoho-universytetu-imeni-yuriia-fedkovycha/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426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1x6tpbod5f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2">
      <w:pPr>
        <w:tabs>
          <w:tab w:val="left" w:leader="none" w:pos="180"/>
        </w:tabs>
        <w:ind w:left="180" w:firstLine="529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- офіційні сайти органів державного управління України: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 України : Верховна рада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веб-сайт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https://zakon.rada.gov.ua/laws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Вища освіта : інформаційно-аналітичний портал про вищу освіту в Україні та за кордоном URL 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https://vnz.org.ua/bolonskyj-protses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аудиторська служба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www.dkrs.gov.ua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казначейська служба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http://www.treasury.gov.ua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податкова служба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https://tax.gov.ua/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служба фінансового моніторингу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www.sdfm.gov.ua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служба статистики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Довідник кваліфікаційних характеристик професій працівників : Jobs UA. URL : https://jobs.ua/dkhp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Кабінет Міністрів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http://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www.kmu.gov.ua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Класифікатор професій ДК 003:2010 : Jobs UA. URL : https://jobs.ua/classifier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 фінансів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http://www.minfin.gov.ua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Національна комісія з цінних паперів і фондового ринку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https://www.nssmc.gov.ua/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банк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http://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www.nbu.gov.ua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Пенсійний фонд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http://www.pfu.gov.ua/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Рахункова палата України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офіційний сайт.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 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http://www.ac-rada.gov.ua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426" w:hanging="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офіційні сайти наукових і електронних бібліотек в Україні:</w:t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Наукова бібліотека Чернівецького національного університету імені Юрія Федьковича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офіційний сайт. </w:t>
      </w:r>
      <w:r w:rsidDel="00000000" w:rsidR="00000000" w:rsidRPr="00000000">
        <w:rPr>
          <w:sz w:val="24"/>
          <w:szCs w:val="24"/>
          <w:rtl w:val="0"/>
        </w:rPr>
        <w:t xml:space="preserve">URL : http://library.chnu.edu.ua/index.php?page=ua</w:t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Національна бібліотека України ім. В.І. Вернадського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офіційний сайт. </w:t>
      </w:r>
      <w:r w:rsidDel="00000000" w:rsidR="00000000" w:rsidRPr="00000000">
        <w:rPr>
          <w:sz w:val="24"/>
          <w:szCs w:val="24"/>
          <w:rtl w:val="0"/>
        </w:rPr>
        <w:t xml:space="preserve">URL : www.nbuv.gov.ua 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Національна парламентська бібліотека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офіційний сайт. </w:t>
      </w:r>
      <w:r w:rsidDel="00000000" w:rsidR="00000000" w:rsidRPr="00000000">
        <w:rPr>
          <w:sz w:val="24"/>
          <w:szCs w:val="24"/>
          <w:rtl w:val="0"/>
        </w:rPr>
        <w:t xml:space="preserve">URL : </w:t>
      </w:r>
      <w:hyperlink r:id="rId1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www.alpha.rada.kiev.ua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Покликання на робочу програму навчальної дисципліни «Вступ у спеціальність»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i w:val="1"/>
            <w:iCs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6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b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c">
    <w:name w:val="Emphasis"/>
    <w:basedOn w:val="a0"/>
    <w:uiPriority w:val="20"/>
    <w:qFormat w:val="1"/>
    <w:rsid w:val="005451FE"/>
    <w:rPr>
      <w:i w:val="1"/>
      <w:iCs w:val="1"/>
    </w:rPr>
  </w:style>
  <w:style w:type="character" w:styleId="a5" w:customStyle="1">
    <w:name w:val="Абзац списка Знак"/>
    <w:link w:val="a4"/>
    <w:uiPriority w:val="34"/>
    <w:locked w:val="1"/>
    <w:rsid w:val="008B4886"/>
    <w:rPr>
      <w:rFonts w:ascii="Times New Roman" w:cs="Times New Roman" w:eastAsia="Times New Roman" w:hAnsi="Times New Roman"/>
      <w:lang w:val="uk-UA"/>
    </w:rPr>
  </w:style>
  <w:style w:type="character" w:styleId="ad">
    <w:name w:val="Unresolved Mention"/>
    <w:basedOn w:val="a0"/>
    <w:uiPriority w:val="99"/>
    <w:semiHidden w:val="1"/>
    <w:unhideWhenUsed w:val="1"/>
    <w:rsid w:val="009F2EE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akon.rada.gov.ua/laws" TargetMode="External"/><Relationship Id="rId10" Type="http://schemas.openxmlformats.org/officeDocument/2006/relationships/hyperlink" Target="https://www.chnu.edu.ua/media/f5eleobm/polozhennya-pro-zapobihannia-plahiatu_2024.pdf" TargetMode="External"/><Relationship Id="rId13" Type="http://schemas.openxmlformats.org/officeDocument/2006/relationships/hyperlink" Target="http://www.ukrstat.gov.ua/" TargetMode="External"/><Relationship Id="rId12" Type="http://schemas.openxmlformats.org/officeDocument/2006/relationships/hyperlink" Target="https://vnz.org.ua/bolonskyj-prots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5" Type="http://schemas.openxmlformats.org/officeDocument/2006/relationships/hyperlink" Target="http://www.minfin.gov.ua" TargetMode="External"/><Relationship Id="rId14" Type="http://schemas.openxmlformats.org/officeDocument/2006/relationships/hyperlink" Target="http://www.kmu.gov.ua" TargetMode="External"/><Relationship Id="rId17" Type="http://schemas.openxmlformats.org/officeDocument/2006/relationships/hyperlink" Target="http://www.ac-rada.gov.ua" TargetMode="External"/><Relationship Id="rId16" Type="http://schemas.openxmlformats.org/officeDocument/2006/relationships/hyperlink" Target="http://www.nbu.gov.ua" TargetMode="External"/><Relationship Id="rId5" Type="http://schemas.openxmlformats.org/officeDocument/2006/relationships/styles" Target="styles.xml"/><Relationship Id="rId19" Type="http://schemas.openxmlformats.org/officeDocument/2006/relationships/hyperlink" Target="https://finance.chnu.edu.ua/diialnist/osvitnia-diialnist/bakalavr/navchalni-dystsypliny/robochi-prohramy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alpha.rada.kiev.ua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finance.chnu.edu.ua/nasha-kafedra/kolektyv/bak-nataliia-andriivn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m6aT8pWW0mZIp0B276PufdVIw==">CgMxLjAyDmgubGVvZ2V3OWl1c2xsMg5oLmQwem5iOXJvOTB0YjIOaC52MXg2dHBib2Q1Zjg4AHIhMWNOZmVDTUJEaVdJMGxiNDVnYUdZNlMyQTZnQTRTWHdU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2025-08-29T14:17:00Z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