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367689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7689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color w:val="632423"/>
          <w:sz w:val="40"/>
          <w:szCs w:val="40"/>
        </w:rPr>
      </w:pP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«</w:t>
      </w: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БЮДЖЕТНА СИСТЕМА</w:t>
      </w: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Компонент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(5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кредитів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7"/>
        <w:gridCol w:w="6098"/>
        <w:tblGridChange w:id="0">
          <w:tblGrid>
            <w:gridCol w:w="3727"/>
            <w:gridCol w:w="609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072 Фінанси, банківська справа, страхування та фондовий ринок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 Управління і адміністрування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Сокровольська Наталія Ярославівна – кандидат економічних наук, доцент кафедри фінансів і кредиту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https://finance.chnu.edu.ua/nasha-kafedra/kolektyv/sokrovolska-nataliia-yaroslavivna/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+380505002605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n.sokrovolska@chnu.edu.ua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https://moodle.chnu.edu.ua/course/view.php?id=595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Вівторок з 11 до 12.00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0" w:right="517" w:firstLine="0"/>
        <w:rPr>
          <w:color w:val="632423"/>
          <w:sz w:val="28"/>
          <w:szCs w:val="28"/>
        </w:rPr>
      </w:pPr>
      <w:r w:rsidDel="00000000" w:rsidR="00000000" w:rsidRPr="00000000">
        <w:rPr>
          <w:color w:val="632423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Освітня компонента «Бюджетна система» належить до обов’язкових навчальних дисциплін підготовки здобувачів вищої освіти за освітньо-професійною програмою «Фінанси, банківська справа та страхування» спеціальності 072 «Фінанси, банківська справа, страхування та фондовий ринок». Вивчення дисципліни дозволяє здобувачам набути теоретичних знань і практичних навичок щодо сутності, структури та функціонування бюджетної системи, організації бюджетного процесу на державному і місцевому рівнях, кошторисного фінансування бюджетних установ, формування доходів і видатків бюджету, застосування програмно-цільового методу, а також сучасних підходів до управління бюджетними ресурсами та забезпечення прозорості публічних фінансів.</w:t>
      </w:r>
    </w:p>
    <w:p w:rsidR="00000000" w:rsidDel="00000000" w:rsidP="00000000" w:rsidRDefault="00000000" w:rsidRPr="00000000" w14:paraId="0000001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Мета навчальної дисципліни – формування у здобувачів цілісної системи знань і вмінь з теорії та практики організації бюджетних відносин як основи для прийняття фінансових рішень у сфері складання, виконання та контролю бюджету, аналізу впливу бюджетної політики на соціально-економічний розвиток держави, оволодіння сучасними методами бюджетного планування та прогнозування, враховуючи цифровізацію фінансових процесів і міжнародні стандарти управління публічними фінансами.</w:t>
      </w:r>
    </w:p>
    <w:p w:rsidR="00000000" w:rsidDel="00000000" w:rsidP="00000000" w:rsidRDefault="00000000" w:rsidRPr="00000000" w14:paraId="0000001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Навчальна дисципліна «Бюджетна система» відповідно до структурно-логічної схеми освітньо-професійної програми слухається здобувачами вищої освіти в шостому семестрі третього року навчання та базується на основі знань, отриманих здобувачами вищої освіти, з таких дисциплін, як «Гроші та кредит», «Фінанси», «Податкова система». Вивчення дисципліни «Бюджетна система» є підґрунтям для проходження виробничої практики і підготовки кваліфікаційної роботи, а також для засвоєння спеціалізованих дисциплін з фінансів.</w:t>
      </w:r>
    </w:p>
    <w:p w:rsidR="00000000" w:rsidDel="00000000" w:rsidP="00000000" w:rsidRDefault="00000000" w:rsidRPr="00000000" w14:paraId="0000002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jc w:val="both"/>
        <w:rPr>
          <w:b w:val="1"/>
          <w:bCs w:val="1"/>
          <w:smallCaps w:val="1"/>
          <w:color w:val="632423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color w:val="632423"/>
          <w:sz w:val="28"/>
          <w:szCs w:val="28"/>
          <w:rtl w:val="0"/>
        </w:rPr>
        <w:t xml:space="preserve">НАВЧАЛЬНИЙ КОНТЕНТ ОСВІТНЬОЇ КОМПОНЕНТИ</w:t>
      </w:r>
    </w:p>
    <w:tbl>
      <w:tblPr>
        <w:tblStyle w:val="Table2"/>
        <w:tblW w:w="99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9"/>
        <w:gridCol w:w="8686"/>
        <w:tblGridChange w:id="0">
          <w:tblGrid>
            <w:gridCol w:w="1229"/>
            <w:gridCol w:w="868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Сутність, призначення і роль бюджету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Сутність, призначення і роль бюджету. Бюджетне планування.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Бюджетний устрій і побудова бюджетної системи України.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 доходів бюджету.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Система видатків бюджету.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Міжбюджетні відносини і система бюджетного вирівнювання.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Планування видатків бюджетних установ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Бюджетний дефіцит і джерела його фінансування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Видатки бюджету на обслуговування державного боргу.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Видатки бюджету на соціальний захист населення і соціальну сферу.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Видатки бюджету на оборону та управління.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Видатки бюджету на економічну діяльність держави та науку.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yggx8a9oweo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ФОРМИ, МЕТОДИ ТА ОСВІТНІ ТЕХНОЛОГІЇ НАВЧАННЯ</w:t>
      </w:r>
    </w:p>
    <w:p w:rsidR="00000000" w:rsidDel="00000000" w:rsidP="00000000" w:rsidRDefault="00000000" w:rsidRPr="00000000" w14:paraId="0000003C">
      <w:pPr>
        <w:ind w:right="6" w:firstLine="720"/>
        <w:jc w:val="both"/>
        <w:rPr>
          <w:sz w:val="28"/>
          <w:szCs w:val="28"/>
        </w:rPr>
      </w:pPr>
      <w:bookmarkStart w:colFirst="0" w:colLast="0" w:name="_heading=h.v5cvp6bbeki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6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студентоцентрованого навчання; проєктна діяльність), традиційні та інтерактивні форми і методи навчання (зокрема, лекція-візуалізація, практичне заняття, ситуаційні завдання, кейси, самостійно-дослідницька робота тощо).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практичні завдання, модульна робота, проект, презентація тощо.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екзамен.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https://www.chnu.edu.ua/media/bkyl5klw/etychnyi-kodeks-chernivetskoho-natsionalnoho-universytetu.pdf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2"/>
        </w:numPr>
        <w:shd w:fill="ffffff" w:val="clear"/>
        <w:tabs>
          <w:tab w:val="left" w:leader="none" w:pos="365"/>
        </w:tabs>
        <w:ind w:left="140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Державна казначейська служба України – http://www.treasury.gov.ua 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2"/>
        </w:numPr>
        <w:shd w:fill="ffffff" w:val="clear"/>
        <w:tabs>
          <w:tab w:val="left" w:leader="none" w:pos="365"/>
        </w:tabs>
        <w:ind w:left="1400" w:hanging="360"/>
        <w:jc w:val="both"/>
        <w:rPr>
          <w:sz w:val="28"/>
          <w:szCs w:val="28"/>
        </w:rPr>
      </w:pPr>
      <w:bookmarkStart w:colFirst="0" w:colLast="0" w:name="_heading=h.u6m7lsg5rrg4" w:id="2"/>
      <w:bookmarkEnd w:id="2"/>
      <w:r w:rsidDel="00000000" w:rsidR="00000000" w:rsidRPr="00000000">
        <w:rPr>
          <w:sz w:val="28"/>
          <w:szCs w:val="28"/>
          <w:rtl w:val="0"/>
        </w:rPr>
        <w:t xml:space="preserve">Державна податкова служба України - https://tax.gov.ua/ 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2"/>
        </w:numPr>
        <w:shd w:fill="ffffff" w:val="clear"/>
        <w:tabs>
          <w:tab w:val="left" w:leader="none" w:pos="365"/>
        </w:tabs>
        <w:ind w:left="140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Державна митна служба України - https://customs.gov.ua 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2"/>
        </w:numPr>
        <w:shd w:fill="ffffff" w:val="clear"/>
        <w:tabs>
          <w:tab w:val="left" w:leader="none" w:pos="365"/>
        </w:tabs>
        <w:ind w:left="140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Державна служба статистики України – </w:t>
      </w: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2"/>
        </w:numPr>
        <w:shd w:fill="ffffff" w:val="clear"/>
        <w:tabs>
          <w:tab w:val="left" w:leader="none" w:pos="365"/>
        </w:tabs>
        <w:ind w:left="140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Міністерство фінансів України – </w:t>
      </w:r>
      <w:hyperlink r:id="rId1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http://www.minfin.gov.ua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2"/>
        </w:numPr>
        <w:shd w:fill="ffffff" w:val="clear"/>
        <w:tabs>
          <w:tab w:val="left" w:leader="none" w:pos="365"/>
        </w:tabs>
        <w:ind w:left="140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Пенсійний фонд України – http://www.pfu.gov.ua/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42"/>
        </w:tabs>
        <w:ind w:firstLine="709"/>
        <w:jc w:val="both"/>
        <w:rPr>
          <w:b w:val="1"/>
          <w:bCs w:val="1"/>
          <w:i w:val="1"/>
          <w:iCs w:val="1"/>
          <w:color w:val="63242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«Бюджетна система»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i w:val="1"/>
            <w:iCs w:val="1"/>
            <w:color w:val="1155cc"/>
            <w:sz w:val="24"/>
            <w:szCs w:val="24"/>
            <w:highlight w:val="yellow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color w:val="0070c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42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851" w:top="851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400" w:hanging="360"/>
      </w:pPr>
      <w:rPr/>
    </w:lvl>
    <w:lvl w:ilvl="1">
      <w:start w:val="1"/>
      <w:numFmt w:val="lowerLetter"/>
      <w:lvlText w:val="%2."/>
      <w:lvlJc w:val="left"/>
      <w:pPr>
        <w:ind w:left="2120" w:hanging="360"/>
      </w:pPr>
      <w:rPr/>
    </w:lvl>
    <w:lvl w:ilvl="2">
      <w:start w:val="1"/>
      <w:numFmt w:val="lowerRoman"/>
      <w:lvlText w:val="%3."/>
      <w:lvlJc w:val="right"/>
      <w:pPr>
        <w:ind w:left="2840" w:hanging="180"/>
      </w:pPr>
      <w:rPr/>
    </w:lvl>
    <w:lvl w:ilvl="3">
      <w:start w:val="1"/>
      <w:numFmt w:val="decimal"/>
      <w:lvlText w:val="%4."/>
      <w:lvlJc w:val="left"/>
      <w:pPr>
        <w:ind w:left="3560" w:hanging="360"/>
      </w:pPr>
      <w:rPr/>
    </w:lvl>
    <w:lvl w:ilvl="4">
      <w:start w:val="1"/>
      <w:numFmt w:val="lowerLetter"/>
      <w:lvlText w:val="%5."/>
      <w:lvlJc w:val="left"/>
      <w:pPr>
        <w:ind w:left="4280" w:hanging="360"/>
      </w:pPr>
      <w:rPr/>
    </w:lvl>
    <w:lvl w:ilvl="5">
      <w:start w:val="1"/>
      <w:numFmt w:val="lowerRoman"/>
      <w:lvlText w:val="%6."/>
      <w:lvlJc w:val="right"/>
      <w:pPr>
        <w:ind w:left="5000" w:hanging="180"/>
      </w:pPr>
      <w:rPr/>
    </w:lvl>
    <w:lvl w:ilvl="6">
      <w:start w:val="1"/>
      <w:numFmt w:val="decimal"/>
      <w:lvlText w:val="%7."/>
      <w:lvlJc w:val="left"/>
      <w:pPr>
        <w:ind w:left="5720" w:hanging="360"/>
      </w:pPr>
      <w:rPr/>
    </w:lvl>
    <w:lvl w:ilvl="7">
      <w:start w:val="1"/>
      <w:numFmt w:val="lowerLetter"/>
      <w:lvlText w:val="%8."/>
      <w:lvlJc w:val="left"/>
      <w:pPr>
        <w:ind w:left="6440" w:hanging="360"/>
      </w:pPr>
      <w:rPr/>
    </w:lvl>
    <w:lvl w:ilvl="8">
      <w:start w:val="1"/>
      <w:numFmt w:val="lowerRoman"/>
      <w:lvlText w:val="%9."/>
      <w:lvlJc w:val="right"/>
      <w:pPr>
        <w:ind w:left="71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ind w:left="105"/>
    </w:pPr>
  </w:style>
  <w:style w:type="character" w:styleId="a5">
    <w:name w:val="Hyperlink"/>
    <w:basedOn w:val="a0"/>
    <w:unhideWhenUsed w:val="1"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a">
    <w:name w:val="Normal (Web)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11" w:customStyle="1">
    <w:name w:val="Незакрита згадка1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b">
    <w:name w:val="Emphasis"/>
    <w:basedOn w:val="a0"/>
    <w:uiPriority w:val="20"/>
    <w:qFormat w:val="1"/>
    <w:rsid w:val="005451FE"/>
    <w:rPr>
      <w:i w:val="1"/>
      <w:iCs w:val="1"/>
    </w:rPr>
  </w:style>
  <w:style w:type="paragraph" w:styleId="ac">
    <w:name w:val="Body Text Indent"/>
    <w:basedOn w:val="a"/>
    <w:link w:val="ad"/>
    <w:uiPriority w:val="99"/>
    <w:unhideWhenUsed w:val="1"/>
    <w:rsid w:val="00797036"/>
    <w:pPr>
      <w:widowControl w:val="1"/>
      <w:autoSpaceDE w:val="1"/>
      <w:autoSpaceDN w:val="1"/>
      <w:spacing w:after="120" w:line="259" w:lineRule="auto"/>
      <w:ind w:left="283"/>
    </w:pPr>
    <w:rPr>
      <w:rFonts w:asciiTheme="minorHAnsi" w:cstheme="minorBidi" w:eastAsiaTheme="minorHAnsi" w:hAnsiTheme="minorHAnsi"/>
    </w:rPr>
  </w:style>
  <w:style w:type="character" w:styleId="ad" w:customStyle="1">
    <w:name w:val="Основной текст с отступом Знак"/>
    <w:basedOn w:val="a0"/>
    <w:link w:val="ac"/>
    <w:uiPriority w:val="99"/>
    <w:rsid w:val="00797036"/>
    <w:rPr>
      <w:lang w:val="uk-UA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EE5ADE"/>
    <w:rPr>
      <w:color w:val="605e5c"/>
      <w:shd w:color="auto" w:fill="e1dfdd" w:val="clear"/>
    </w:rPr>
  </w:style>
  <w:style w:type="character" w:styleId="ae">
    <w:name w:val="Strong"/>
    <w:basedOn w:val="a0"/>
    <w:uiPriority w:val="22"/>
    <w:qFormat w:val="1"/>
    <w:rsid w:val="003D71C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minfin.gov.ua" TargetMode="External"/><Relationship Id="rId10" Type="http://schemas.openxmlformats.org/officeDocument/2006/relationships/hyperlink" Target="http://www.ukrstat.gov.ua/" TargetMode="External"/><Relationship Id="rId12" Type="http://schemas.openxmlformats.org/officeDocument/2006/relationships/hyperlink" Target="https://finance.chnu.edu.ua/diialnist/osvitnia-diialnist/bakalavr/navchalni-dystsypliny/robochi-prohramy/" TargetMode="External"/><Relationship Id="rId9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chnu.edu.ua/media/bkyl5klw/etychnyi-kodeks-chernivetskoho-natsionalnoho-universytetu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wLjJogSborVpVGQF65lnrPRY1Q==">CgMxLjAyDmgueWdneDhhOW93ZW9vMg5oLnY1Y3ZwNmJiZWtpbjIOaC51Nm03bHNnNXJyZzQ4AHIhMU42MmxYUy10QXAzalRfckwyQ2ZSejRrNlpUTm1XYkZw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2025-09-21T08:31:00Z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aefecde4-778b-46a1-b04a-e234d523b3f9</vt:lpwstr>
  </property>
</Properties>
</file>