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3"/>
        <w:jc w:val="center"/>
        <w:rPr>
          <w:b w:val="1"/>
          <w:bCs w:val="1"/>
          <w:color w:val="843c0b"/>
          <w:sz w:val="28"/>
          <w:szCs w:val="28"/>
        </w:rPr>
      </w:pPr>
      <w:r w:rsidDel="00000000" w:rsidR="00000000" w:rsidRPr="00000000">
        <w:rPr>
          <w:b w:val="1"/>
          <w:bCs w:val="1"/>
          <w:color w:val="843c0b"/>
          <w:sz w:val="28"/>
          <w:szCs w:val="28"/>
          <w:rtl w:val="0"/>
        </w:rPr>
        <w:t xml:space="preserve">«ГРОШІ І КРЕДИТ»</w:t>
      </w:r>
    </w:p>
    <w:p w:rsidR="00000000" w:rsidDel="00000000" w:rsidP="00000000" w:rsidRDefault="00000000" w:rsidRPr="00000000" w14:paraId="00000003">
      <w:pPr>
        <w:widowControl w:val="1"/>
        <w:ind w:right="3"/>
        <w:jc w:val="center"/>
        <w:rPr>
          <w:color w:val="843c0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right="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–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обов’язкова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(10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кредитів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9"/>
        <w:gridCol w:w="5639"/>
        <w:tblGridChange w:id="0">
          <w:tblGrid>
            <w:gridCol w:w="3709"/>
            <w:gridCol w:w="56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D2 «Фінанси, банківська справа, страхування та фондовий ринок»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«Бізнес, адміністрування та право»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Профайл викладача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(-ів)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Нікіфоров Петро Опанасович – доктор економічних наук, професор, завідувач кафедри фінансів і кредиту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https://finance.chnu.edu.ua/nasha-kafedra/kolektyv/nikiforov-petro-opanasovych/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Ткач Євген Вікторович – кандидат економічних наук, доцент кафедри фінансів і кредиту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https://finance.chnu.edu.ua/nasha-kafedra/kolektyv/tkach-yevhen-viktorovych/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+380502902919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+380509699710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1"/>
                <w:szCs w:val="21"/>
                <w:highlight w:val="white"/>
                <w:u w:val="none"/>
                <w:vertAlign w:val="baselin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1"/>
                  <w:szCs w:val="21"/>
                  <w:highlight w:val="white"/>
                  <w:u w:val="single"/>
                  <w:vertAlign w:val="baseline"/>
                  <w:rtl w:val="0"/>
                </w:rPr>
                <w:t xml:space="preserve">p.nikiforov@chnu.edu.ua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e.tkach@chnu.edu.ua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https://moodle.chnu.edu.ua/course/view.php?id=3630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п’ятниця з 13.00 до 15.00 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left="0" w:right="3" w:firstLine="0"/>
        <w:rPr>
          <w:color w:val="843c0b"/>
        </w:rPr>
      </w:pPr>
      <w:r w:rsidDel="00000000" w:rsidR="00000000" w:rsidRPr="00000000">
        <w:rPr>
          <w:color w:val="843c0b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24">
      <w:pPr>
        <w:ind w:right="3" w:firstLine="56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Навчальна дисципліна «Гроші і кредит» спрямована на отримання базових фундаментальних знань з теорії грошей, грошового обігу та кредитного  процесу для розв’язання складних завдань  у ході професійної діяльності в галузі фінансів, банківської справи, страхування та фондового ринку і для подальшого навчання за спеціальністю.</w:t>
      </w:r>
    </w:p>
    <w:p w:rsidR="00000000" w:rsidDel="00000000" w:rsidP="00000000" w:rsidRDefault="00000000" w:rsidRPr="00000000" w14:paraId="00000025">
      <w:pPr>
        <w:ind w:right="3" w:firstLine="567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Мета навчальної дисципліни: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</w:t>
      </w:r>
      <w:r w:rsidDel="00000000" w:rsidR="00000000" w:rsidRPr="00000000">
        <w:rPr>
          <w:sz w:val="24"/>
          <w:szCs w:val="24"/>
          <w:rtl w:val="0"/>
        </w:rPr>
        <w:t xml:space="preserve">формувати у здобувачів базові знання у сфері грошово-кредитних відносин і монетарного регулювання, щоб зрозуміти та засвоїти закономірності функціонування грошової системи та фінансових ринків, банківського сектору та парабанківських установ як теоретичної основи фахових рішень у монетарній сфері економіки та відповідної бази для подальшого вивчення дисциплін монетарного циклу.</w:t>
      </w:r>
    </w:p>
    <w:p w:rsidR="00000000" w:rsidDel="00000000" w:rsidP="00000000" w:rsidRDefault="00000000" w:rsidRPr="00000000" w14:paraId="00000026">
      <w:pPr>
        <w:ind w:right="3" w:firstLine="567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Навчальна дисципліна «Гроші і кредит» відповідно до структурно-логічної схеми освітньо-професійної програми слухається здобувачами освіти паралельно із такими дисциплінами як «Економічна теорія», «Мікроекономіка», «Вступ у спеціальність».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b9bd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9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0"/>
        <w:gridCol w:w="8258"/>
        <w:tblGridChange w:id="0">
          <w:tblGrid>
            <w:gridCol w:w="1090"/>
            <w:gridCol w:w="825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1.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ЕКОНОМІЧНА ПРИРОДА, СУТЬ, ФУНКЦІЇ ТА ТЕОРІЇ ГРОШЕЙ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Необхідність грошей та їх походження. Еволюція функцій та форм грошей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Теорії грошей та грошово-кредитного регулювання економіки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Грошовий оборот, його структура та характеристика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Грошова система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2. 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ГРОШОВИЙ РИНОК, ПОНЯТТЯ ІНФЛЯЦІЇ ТА ВАЛЮТНОГО КУРСУ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Грошовий ринок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Інфляція та необхідність стабілізації грошового обігу, її  впливу на сталий розвиток економіки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Грошові реформи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Валюта, валютний курс, валютний ринок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МОДУЛЬ 3.   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РОЛЬ КРЕДИТУ В РИНКОВІЙ ЕКОНОМІЦІ ТА БАНКІВСЬКА СИСТЕМА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Суть, теорії та функції кредиту. Поняття процента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Форми та види кредиту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Фінансове посередництво. Система комерційних банків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Небанківські фінансово-кредитні установи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Цінні папери та фондовий ринок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МОДУЛЬ 4.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МОНЕТАРНА ПОЛІТИКА ТА МІЖНАРОДНА ВАЛЮТНО-КРЕДИТНА СИСТЕМА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Центральний банк та його роль в економіці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Монетарна політика Центрального банку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Світова валютна система: історична еволюція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Міжнародні валютно-кредитні організації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fa2oy8ig6gb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ОСВІТНІ ТЕХНОЛОГІЇ, ФОРМИ ТА МЕТОДИ НАВЧАННЯ</w:t>
      </w:r>
    </w:p>
    <w:p w:rsidR="00000000" w:rsidDel="00000000" w:rsidP="00000000" w:rsidRDefault="00000000" w:rsidRPr="00000000" w14:paraId="0000005D">
      <w:pPr>
        <w:ind w:right="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 процесі вивчення навчальної дисципліни використовуються традиційні та інноваційні освітні технології (інформаційно-комунікаційні, технології студентоцентрованого навчання), традиційні та інтерактивні форми і методи навчання 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p w:rsidR="00000000" w:rsidDel="00000000" w:rsidP="00000000" w:rsidRDefault="00000000" w:rsidRPr="00000000" w14:paraId="0000005E">
      <w:pPr>
        <w:widowControl w:val="1"/>
        <w:ind w:right="3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y8okr9c4u6d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усне та письмове опитування, тестування, есе, творча робота, презентація тощо.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Підсумковий  контроль: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І-ий семестр – залік;  ІІ-ий семестр – екзамен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hanging="3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3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3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single"/>
          <w:shd w:fill="auto" w:val="clear"/>
          <w:vertAlign w:val="baseline"/>
          <w:rtl w:val="0"/>
        </w:rPr>
        <w:t xml:space="preserve">https://www.chnu.edu.ua/universytet/normatyvni-dokumenty/etychnyi-kodeks-chernivetskoho-natsionalnoho-universytetu-imeni-yuriia-fedkovycha/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3" w:firstLine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https://www.chnu.edu.ua/media/n5nbzwgb/polozhennia-chnu-pro-plahiat-2023plusdodatky-31102023.pdf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6D">
      <w:pPr>
        <w:tabs>
          <w:tab w:val="left" w:leader="none" w:pos="426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Офіційні сайти органів державного управління України, міжнародних фінансових організацій, науково-дослідних інститутів і центрів, пошукових систем, наукових і електронних бібліотек в Україні (деталізований перелік наведено в робочій програмі дисципліни).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Посилання на інформаційні ресурси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Аналітика : Міжнародний центр перспективних досліджень: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http://icps.com.ua/</w:t>
      </w:r>
    </w:p>
    <w:p w:rsidR="00000000" w:rsidDel="00000000" w:rsidP="00000000" w:rsidRDefault="00000000" w:rsidRPr="00000000" w14:paraId="00000070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Дані та аналітика : Міністерство фінансів України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</w:t>
      </w:r>
      <w:hyperlink r:id="rId14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https://mof.gov.ua/uk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Законодавство України : Верховна рада України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</w:t>
      </w:r>
      <w:hyperlink r:id="rId15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https://zakon.rada.gov.ua/laws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Звітність : Державна казначейська служба України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https://www.treasury.gov.ua/ua</w:t>
      </w:r>
    </w:p>
    <w:p w:rsidR="00000000" w:rsidDel="00000000" w:rsidP="00000000" w:rsidRDefault="00000000" w:rsidRPr="00000000" w14:paraId="00000073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Статистика : Національний банк України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https://bank.gov.ua/</w:t>
      </w:r>
    </w:p>
    <w:p w:rsidR="00000000" w:rsidDel="00000000" w:rsidP="00000000" w:rsidRDefault="00000000" w:rsidRPr="00000000" w14:paraId="00000074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Статистична інформація : Державна служба статистики України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http://www.ukrstat.gov.ua/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Bureau of Economic Analysis.</w:t>
      </w:r>
      <w:r w:rsidDel="00000000" w:rsidR="00000000" w:rsidRPr="00000000">
        <w:rPr>
          <w:sz w:val="24"/>
          <w:szCs w:val="24"/>
          <w:rtl w:val="0"/>
        </w:rPr>
        <w:t xml:space="preserve"> URL: https://</w:t>
      </w:r>
      <w:hyperlink r:id="rId16">
        <w:r w:rsidDel="00000000" w:rsidR="00000000" w:rsidRPr="00000000">
          <w:rPr>
            <w:color w:val="0563c1"/>
            <w:sz w:val="24"/>
            <w:szCs w:val="24"/>
            <w:highlight w:val="white"/>
            <w:u w:val="single"/>
            <w:rtl w:val="0"/>
          </w:rPr>
          <w:t xml:space="preserve">www.bea.gov/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Government Finance Statistics / International Monetary Fund. URL: https://</w:t>
      </w:r>
      <w:hyperlink r:id="rId17">
        <w:r w:rsidDel="00000000" w:rsidR="00000000" w:rsidRPr="00000000">
          <w:rPr>
            <w:color w:val="0563c1"/>
            <w:sz w:val="24"/>
            <w:szCs w:val="24"/>
            <w:highlight w:val="white"/>
            <w:u w:val="single"/>
            <w:rtl w:val="0"/>
          </w:rPr>
          <w:t xml:space="preserve">data.imf.org/?sk=89418059-d5c0-4330-8c41-dbc2d8f90f46&amp;sId=1435762628665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OECD. (2020). Revenue Statistics 2020. Paris: OECD Publishing, 2020. </w:t>
      </w:r>
      <w:r w:rsidDel="00000000" w:rsidR="00000000" w:rsidRPr="00000000">
        <w:rPr>
          <w:sz w:val="24"/>
          <w:szCs w:val="24"/>
          <w:rtl w:val="0"/>
        </w:rPr>
        <w:t xml:space="preserve">URL: </w:t>
      </w:r>
      <w:hyperlink r:id="rId18">
        <w:r w:rsidDel="00000000" w:rsidR="00000000" w:rsidRPr="00000000">
          <w:rPr>
            <w:color w:val="0563c1"/>
            <w:sz w:val="24"/>
            <w:szCs w:val="24"/>
            <w:highlight w:val="white"/>
            <w:u w:val="single"/>
            <w:rtl w:val="0"/>
          </w:rPr>
          <w:t xml:space="preserve">doi.org/10.1787/8625f8e5-en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 Opencorporates.com. </w:t>
      </w:r>
      <w:r w:rsidDel="00000000" w:rsidR="00000000" w:rsidRPr="00000000">
        <w:rPr>
          <w:sz w:val="24"/>
          <w:szCs w:val="24"/>
          <w:rtl w:val="0"/>
        </w:rPr>
        <w:t xml:space="preserve">URL: https://</w:t>
      </w:r>
      <w:hyperlink r:id="rId19">
        <w:r w:rsidDel="00000000" w:rsidR="00000000" w:rsidRPr="00000000">
          <w:rPr>
            <w:color w:val="0563c1"/>
            <w:sz w:val="24"/>
            <w:szCs w:val="24"/>
            <w:highlight w:val="white"/>
            <w:u w:val="single"/>
            <w:rtl w:val="0"/>
          </w:rPr>
          <w:t xml:space="preserve">opencorporates.com/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Open </w:t>
      </w:r>
      <w:r w:rsidDel="00000000" w:rsidR="00000000" w:rsidRPr="00000000">
        <w:rPr>
          <w:sz w:val="24"/>
          <w:szCs w:val="24"/>
          <w:rtl w:val="0"/>
        </w:rPr>
        <w:t xml:space="preserve">budget : Державний веб-портал бюджету для громадян. URL : https://openbudget.gov.ua/</w:t>
      </w:r>
    </w:p>
    <w:p w:rsidR="00000000" w:rsidDel="00000000" w:rsidP="00000000" w:rsidRDefault="00000000" w:rsidRPr="00000000" w14:paraId="0000007A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Comtrade Database / United Nations. URL: </w:t>
      </w:r>
      <w:hyperlink r:id="rId20">
        <w:r w:rsidDel="00000000" w:rsidR="00000000" w:rsidRPr="00000000">
          <w:rPr>
            <w:sz w:val="24"/>
            <w:szCs w:val="24"/>
            <w:rtl w:val="0"/>
          </w:rPr>
          <w:t xml:space="preserve">https://comtrade.un.org/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World Development Indicators. URL: https://</w:t>
      </w:r>
      <w:hyperlink r:id="rId21">
        <w:r w:rsidDel="00000000" w:rsidR="00000000" w:rsidRPr="00000000">
          <w:rPr>
            <w:sz w:val="24"/>
            <w:szCs w:val="24"/>
            <w:rtl w:val="0"/>
          </w:rPr>
          <w:t xml:space="preserve">databank.worldbank.org/source/world-development-indicators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hanging="36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v63itppo2cc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«Гроші і кредит»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843c0b"/>
          <w:sz w:val="24"/>
          <w:szCs w:val="24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2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851" w:top="85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1"/>
    <w:rsid w:val="003013DD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a3">
    <w:name w:val="Body Text"/>
    <w:basedOn w:val="a"/>
    <w:link w:val="a4"/>
    <w:uiPriority w:val="1"/>
    <w:qFormat w:val="1"/>
    <w:rsid w:val="003013DD"/>
    <w:pPr>
      <w:ind w:left="859"/>
      <w:jc w:val="both"/>
    </w:pPr>
    <w:rPr>
      <w:sz w:val="24"/>
      <w:szCs w:val="24"/>
    </w:rPr>
  </w:style>
  <w:style w:type="character" w:styleId="a4" w:customStyle="1">
    <w:name w:val="Основний текст Знак"/>
    <w:basedOn w:val="a0"/>
    <w:link w:val="a3"/>
    <w:uiPriority w:val="1"/>
    <w:rsid w:val="003013DD"/>
    <w:rPr>
      <w:rFonts w:ascii="Times New Roman" w:cs="Times New Roman" w:eastAsia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34"/>
    <w:qFormat w:val="1"/>
    <w:rsid w:val="003013DD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rsid w:val="003013DD"/>
    <w:pPr>
      <w:ind w:left="105"/>
    </w:pPr>
  </w:style>
  <w:style w:type="character" w:styleId="a7">
    <w:name w:val="Hyperlink"/>
    <w:basedOn w:val="a0"/>
    <w:uiPriority w:val="99"/>
    <w:unhideWhenUsed w:val="1"/>
    <w:rsid w:val="003013D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013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3013DD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paragraph" w:styleId="a9">
    <w:name w:val="Normal (Web)"/>
    <w:basedOn w:val="a"/>
    <w:uiPriority w:val="99"/>
    <w:unhideWhenUsed w:val="1"/>
    <w:rsid w:val="003013DD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2">
    <w:name w:val="Body Text 2"/>
    <w:basedOn w:val="a"/>
    <w:link w:val="20"/>
    <w:rsid w:val="003013DD"/>
    <w:pPr>
      <w:widowControl w:val="1"/>
      <w:autoSpaceDE w:val="1"/>
      <w:autoSpaceDN w:val="1"/>
      <w:spacing w:after="120" w:line="480" w:lineRule="auto"/>
    </w:pPr>
    <w:rPr>
      <w:sz w:val="28"/>
      <w:szCs w:val="24"/>
      <w:lang w:eastAsia="ru-RU" w:val="ru-RU"/>
    </w:rPr>
  </w:style>
  <w:style w:type="character" w:styleId="20" w:customStyle="1">
    <w:name w:val="Основний текст 2 Знак"/>
    <w:basedOn w:val="a0"/>
    <w:link w:val="2"/>
    <w:rsid w:val="003013DD"/>
    <w:rPr>
      <w:rFonts w:ascii="Times New Roman" w:cs="Times New Roman" w:eastAsia="Times New Roman" w:hAnsi="Times New Roman"/>
      <w:sz w:val="28"/>
      <w:szCs w:val="24"/>
      <w:lang w:eastAsia="ru-RU" w:val="ru-RU"/>
    </w:rPr>
  </w:style>
  <w:style w:type="character" w:styleId="a6" w:customStyle="1">
    <w:name w:val="Абзац списку Знак"/>
    <w:link w:val="a5"/>
    <w:uiPriority w:val="34"/>
    <w:locked w:val="1"/>
    <w:rsid w:val="00A61150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omtrade.un.org/" TargetMode="External"/><Relationship Id="rId11" Type="http://schemas.openxmlformats.org/officeDocument/2006/relationships/hyperlink" Target="mailto:e.tkach@chnu.edu.ua" TargetMode="External"/><Relationship Id="rId22" Type="http://schemas.openxmlformats.org/officeDocument/2006/relationships/hyperlink" Target="https://finance.chnu.edu.ua/diialnist/osvitnia-diialnist/bakalavr/navchalni-dystsypliny/robochi-prohramy/" TargetMode="External"/><Relationship Id="rId10" Type="http://schemas.openxmlformats.org/officeDocument/2006/relationships/hyperlink" Target="mailto:p.nikiforov@chnu.edu.ua" TargetMode="External"/><Relationship Id="rId21" Type="http://schemas.openxmlformats.org/officeDocument/2006/relationships/hyperlink" Target="https://databank.worldbank.org/source/world-development-indicators" TargetMode="External"/><Relationship Id="rId13" Type="http://schemas.openxmlformats.org/officeDocument/2006/relationships/hyperlink" Target="https://www.chnu.edu.ua/media/n5nbzwgb/polozhennia-chnu-pro-plahiat-2023plusdodatky-31102023.pdf" TargetMode="External"/><Relationship Id="rId12" Type="http://schemas.openxmlformats.org/officeDocument/2006/relationships/hyperlink" Target="https://moodle.chnu.edu.ua/course/view.php?id=363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inance.chnu.edu.ua/nasha-kafedra/kolektyv/tkach-yevhen-viktorovych/" TargetMode="External"/><Relationship Id="rId15" Type="http://schemas.openxmlformats.org/officeDocument/2006/relationships/hyperlink" Target="https://zakon.rada.gov.ua/laws" TargetMode="External"/><Relationship Id="rId14" Type="http://schemas.openxmlformats.org/officeDocument/2006/relationships/hyperlink" Target="https://mof.gov.ua/uk" TargetMode="External"/><Relationship Id="rId17" Type="http://schemas.openxmlformats.org/officeDocument/2006/relationships/hyperlink" Target="https://data.imf.org/?sk=89418059-d5c0-4330-8c41-dbc2d8f90f46&amp;sId=1435762628665" TargetMode="External"/><Relationship Id="rId16" Type="http://schemas.openxmlformats.org/officeDocument/2006/relationships/hyperlink" Target="https://www.bea.gov/" TargetMode="External"/><Relationship Id="rId5" Type="http://schemas.openxmlformats.org/officeDocument/2006/relationships/styles" Target="styles.xml"/><Relationship Id="rId19" Type="http://schemas.openxmlformats.org/officeDocument/2006/relationships/hyperlink" Target="https://opencorporates.com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i.org/10.1787/8625f8e5-en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finance.chnu.edu.ua/nasha-kafedra/kolektyv/nikiforov-petro-opanasovych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ltOmXKuu6Oi5nLDC9TjNrP3Dg==">CgMxLjAyDmguZmEyb3k4aWc2Z2JuMg5oLmV5OG9rcjljNHU2ZDIOaC4zdjYzaXRwcG8yY2M4AHIhMWNPQWxsRmVfX0E2bTRkVHRXZnVqQ2MzbTl5NmhEMTdW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2024-09-26T06:53:00Z</dcterms:created>
  <dc:creator>admin</dc:creator>
</cp:coreProperties>
</file>