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Критичне мислення</w:t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вибіркова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(3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9"/>
        <w:gridCol w:w="6238"/>
        <w:tblGridChange w:id="0">
          <w:tblGrid>
            <w:gridCol w:w="3569"/>
            <w:gridCol w:w="62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D2 "Фінанси. банківська справа, страхування та фондовий ринок"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 Бізнес, адміністрування та право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ind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Белей С.І., доцент кафедри бізнесу та управління персоналом, к.е.н.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https://bup.chnu.edu.ua/pro-nas/kolektyv-kafedry/belei-svitlana-ivanivna/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 (0372) 50-94-64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s.belei@chnu.edu.ua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i w:val="1"/>
                <w:iCs w:val="1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https://moodle.chnu.edu.ua/course/view.php?id=5016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 з 12.00 до 16.00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right="517" w:firstLine="0"/>
        <w:rPr>
          <w:color w:val="843c0b"/>
          <w:sz w:val="28"/>
          <w:szCs w:val="28"/>
        </w:rPr>
      </w:pPr>
      <w:r w:rsidDel="00000000" w:rsidR="00000000" w:rsidRPr="00000000">
        <w:rPr>
          <w:color w:val="843c0b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Критичне мислення — навчальна дисципліна, яка ознайомлює здобувачів із закономірностями розвитку аналітичного мислення, методами подолання когнітивних упереджень та догматичних підходів, а також принципами формування скептичного, критичного та діалектичного мислення. Особлива увага приділяється застосуванню критичного мислення у фінансовій, банківській та страховій сферах, де прийняття обґрунтованих рішень визначає ефективність бізнес-процесів та управлінських стратегій.</w:t>
      </w:r>
    </w:p>
    <w:p w:rsidR="00000000" w:rsidDel="00000000" w:rsidP="00000000" w:rsidRDefault="00000000" w:rsidRPr="00000000" w14:paraId="0000001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Мета дисципліни — формування у студентів здатності мислити системно й стратегічно, оволодіти теоретичними основами критичного мислення та розвинути практичні навички його застосування у фінансовій аналітиці, управлінні ризиками, прийнятті інвестиційних та страхових рішень.</w:t>
      </w:r>
    </w:p>
    <w:p w:rsidR="00000000" w:rsidDel="00000000" w:rsidP="00000000" w:rsidRDefault="00000000" w:rsidRPr="00000000" w14:paraId="0000001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Предмет вивчення включає: структуру та компоненти критичного мислення; закономірності логічної організації мисленнєвих процесів; методи аргументації та контраргументації; процедури прийняття рішень на основі аналізу даних; практичні навички раціонального, аналітичного та стратегічного мислення, необхідні у фінансово-банківській і страховій діяльності.</w:t>
      </w:r>
    </w:p>
    <w:p w:rsidR="00000000" w:rsidDel="00000000" w:rsidP="00000000" w:rsidRDefault="00000000" w:rsidRPr="00000000" w14:paraId="0000002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Завдання дисципліни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сформувати у студентів комплексне розуміння сутності, структури та функцій критичного мислення; розвинути здатність застосовувати методи критичного мислення для оцінки фінансових ризиків, аналізу банківських операцій та страхових продуктів; опанувати навички логічного обґрунтування власної позиції, переконливої презентації результатів мисленнєвої діяльності; виробити здатність до доказової та контраргументаційної діяльності у професійних, наукових та повсякденних ситуаціях; розвинути уміння аналізувати, систематизувати та інтерпретувати фінансові дані, робити обґрунтовані висновки та рекомендації для управлінських рішень; сформувати здатність до самокритичного оцінювання власних рішень і дій, підвищення професійної компетентності та стратегічного мислення. Це дозволяє студентам не лише опанувати теорію, а й здобути практичні навички для майбутньої професійної діяльності.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Пререквізити: 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початку вивчення курсу «Критичне мислення» здобувачі мають освоїти такі дисципліни: «Актуальні питання історії та культури України», «Українська мова (за професійним спрямуванням)», «Вища математика», «Інформаційно-комунікаційні технології (ІКТ)». Ці курси забезпечують базові знання з аналітики, логічного мислення, мовної компетентності та роботи з інформаційними ресурсами, необхідні для ефективного засвоєння принципів критичного мислення.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Кореквізити: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паралельно з курсом «Критичне мислення» вивчаються дисципліни: «Іноземна мова (за професійним спрямуванням)», «Філософія», «Статистика», «Економіко-математичні методи та моделі (ЕММтаМ)». Це дозволяє поєднувати розвиток критичного та аналітичного мислення з практикою використання мовних і математичних інструментів для обробки інформації та аргументації.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Підґрунтя: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«Критичне мислення» слугує основою для вивчення дисциплін професійної підготовки здобувачів освітньої програми «Фінанси, банківська справа та страхування», зокрема: економічна теорія, фінансовий аналіз, управління ризиками, банківська діяльність та страхування. Набуті навички критичного мислення дозволяють ефективно аналізувати інформацію, приймати обґрунтовані управлінські рішення та реалізовувати стратегічні підходи у професійній діяльності.</w:t>
      </w:r>
    </w:p>
    <w:p w:rsidR="00000000" w:rsidDel="00000000" w:rsidP="00000000" w:rsidRDefault="00000000" w:rsidRPr="00000000" w14:paraId="0000002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Модуль 1. Теоретичні основи та принципи критичного мислення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1. Виникнення та розвиток критичного мислення 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hd w:fill="ffffff" w:val="clear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2. Критичне мислення та формування світогляду</w:t>
            </w:r>
          </w:p>
        </w:tc>
      </w:tr>
      <w:tr>
        <w:trPr>
          <w:cantSplit w:val="0"/>
          <w:trHeight w:val="4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3. Принципи та методи критичного мислення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4.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Критичне мислення в науці та повсякденному житті: наука і псевдонаука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5. Критичне мислення та робота з числовими даними</w:t>
            </w:r>
          </w:p>
        </w:tc>
      </w:tr>
      <w:tr>
        <w:trPr>
          <w:cantSplit w:val="0"/>
          <w:trHeight w:val="4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Модуль 2. Критичне мислення у роботі з інформацією та медіа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6. ЗМІ та критичне мислення: аналіз та інтерпретація інформації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7. Медіаграмотність у контексті критичного мислення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8. Еристика та аргументація у критичному мисленні</w:t>
            </w:r>
          </w:p>
        </w:tc>
      </w:tr>
      <w:tr>
        <w:trPr>
          <w:cantSplit w:val="0"/>
          <w:trHeight w:val="4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9. Сучасні виклики та запити на критичне мислення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1"/>
        <w:spacing w:after="160" w:line="259" w:lineRule="auto"/>
        <w:rPr>
          <w:b w:val="1"/>
          <w:bCs w:val="1"/>
          <w:color w:val="843c0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ux6nmfv6ug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МЕТОДИ НАВЧАННЯ</w:t>
      </w:r>
    </w:p>
    <w:p w:rsidR="00000000" w:rsidDel="00000000" w:rsidP="00000000" w:rsidRDefault="00000000" w:rsidRPr="00000000" w14:paraId="00000035">
      <w:pPr>
        <w:ind w:right="517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(Case study) та ін.</w:t>
      </w:r>
    </w:p>
    <w:p w:rsidR="00000000" w:rsidDel="00000000" w:rsidP="00000000" w:rsidRDefault="00000000" w:rsidRPr="00000000" w14:paraId="00000036">
      <w:pPr>
        <w:widowControl w:val="1"/>
        <w:ind w:right="517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rijx8g29cno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есе, творча робота, проект, презентація та ін.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залік.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93"/>
        </w:tabs>
        <w:spacing w:after="0" w:before="0" w:line="242" w:lineRule="auto"/>
        <w:ind w:left="0" w:right="2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71xebtwd1z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https://www.chnu.edu.ua/media/jxdbs0zb/etychnyi-kodeks-chernivetskoho-natsionalnoho-universytetu.pdf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https://www.chnu.edu.ua/media/hkzbr1b2/polozhennia-pro-vyiavlennia-ta-zapobihannia-akademichnomu-plahiatu-u-chnu-2025.pdf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https://www.chnu.edu.ua/media/lnojdab4/pravyla-akademichnoi-dobrochesnosti.pdf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https://www.chnu.edu.ua/media/ni4ptvsk/polityka-vykorystannia-shtuchnoho-intelektu-chnu.pdf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0" w:before="0" w:line="240" w:lineRule="auto"/>
        <w:ind w:left="0" w:right="0" w:firstLine="5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Академічні ресурси: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0" w:before="0" w:line="240" w:lineRule="auto"/>
        <w:ind w:left="0" w:right="0" w:firstLine="5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Репозиторій академічних статей, таких як Google Scholar або ResearchGate, для пошуку актуальних наукових досліджень та публікацій з курсу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0" w:before="0" w:line="240" w:lineRule="auto"/>
        <w:ind w:left="0" w:right="0" w:firstLine="5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https://archer.chnu.edu.ua/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0" w:before="0" w:line="240" w:lineRule="auto"/>
        <w:ind w:left="0" w:right="0" w:firstLine="5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Інші інформаційні ресурси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База українського законодавства в Інтернет –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www.lawukraine.com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Інститут глобальних стратегій –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www.igls.com.ua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Інститут економічних досліджень і політичних консультацій –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www.ier.kiev.ua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Електронна бібліотека –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www.lib.com.ua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Національна бібліотека України ім. В.І. Вернадського –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www.nbuv.gov.ua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Національна парламентська бібліотека –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www.alpha.rada.kiev.ua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Critical Thinking Community –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www.criticalthinking.org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Foundation for Critical Thinking –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www.criticalthinking.org/foundation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Stanford Encyclopedia of Philosophy (Critical Thinking) 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www.plato.stanford.edu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Edutopia: Critical Thinking –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www.edutopia.org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Harvard University's Project Zero –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www.pz.harvard.edu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Освіторія –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www.osvitoria.media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Prometheus –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www.prometheus.org.ua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Критичне мислення – www.criticalthinking.expert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EdEra –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www.ed-era.com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«Критичне мислення»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b w:val="1"/>
          <w:bCs w:val="1"/>
          <w:i w:val="1"/>
          <w:iCs w:val="1"/>
          <w:color w:val="843c0b"/>
          <w:sz w:val="28"/>
          <w:szCs w:val="28"/>
        </w:rPr>
      </w:pPr>
      <w:hyperlink r:id="rId28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b w:val="1"/>
          <w:bCs w:val="1"/>
          <w:i w:val="1"/>
          <w:iCs w:val="1"/>
          <w:color w:val="843c0b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2857" w:hanging="360"/>
      </w:pPr>
      <w:rPr/>
    </w:lvl>
    <w:lvl w:ilvl="2">
      <w:start w:val="1"/>
      <w:numFmt w:val="lowerRoman"/>
      <w:lvlText w:val="%3."/>
      <w:lvlJc w:val="right"/>
      <w:pPr>
        <w:ind w:left="3577" w:hanging="180"/>
      </w:pPr>
      <w:rPr/>
    </w:lvl>
    <w:lvl w:ilvl="3">
      <w:start w:val="1"/>
      <w:numFmt w:val="decimal"/>
      <w:lvlText w:val="%4."/>
      <w:lvlJc w:val="left"/>
      <w:pPr>
        <w:ind w:left="4297" w:hanging="360"/>
      </w:pPr>
      <w:rPr/>
    </w:lvl>
    <w:lvl w:ilvl="4">
      <w:start w:val="1"/>
      <w:numFmt w:val="lowerLetter"/>
      <w:lvlText w:val="%5."/>
      <w:lvlJc w:val="left"/>
      <w:pPr>
        <w:ind w:left="5017" w:hanging="360"/>
      </w:pPr>
      <w:rPr/>
    </w:lvl>
    <w:lvl w:ilvl="5">
      <w:start w:val="1"/>
      <w:numFmt w:val="lowerRoman"/>
      <w:lvlText w:val="%6."/>
      <w:lvlJc w:val="right"/>
      <w:pPr>
        <w:ind w:left="5737" w:hanging="180"/>
      </w:pPr>
      <w:rPr/>
    </w:lvl>
    <w:lvl w:ilvl="6">
      <w:start w:val="1"/>
      <w:numFmt w:val="decimal"/>
      <w:lvlText w:val="%7."/>
      <w:lvlJc w:val="left"/>
      <w:pPr>
        <w:ind w:left="6457" w:hanging="360"/>
      </w:pPr>
      <w:rPr/>
    </w:lvl>
    <w:lvl w:ilvl="7">
      <w:start w:val="1"/>
      <w:numFmt w:val="lowerLetter"/>
      <w:lvlText w:val="%8."/>
      <w:lvlJc w:val="left"/>
      <w:pPr>
        <w:ind w:left="7177" w:hanging="360"/>
      </w:pPr>
      <w:rPr/>
    </w:lvl>
    <w:lvl w:ilvl="8">
      <w:start w:val="1"/>
      <w:numFmt w:val="lowerRoman"/>
      <w:lvlText w:val="%9."/>
      <w:lvlJc w:val="right"/>
      <w:pPr>
        <w:ind w:left="789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1"/>
    <w:rsid w:val="00184A95"/>
    <w:rPr>
      <w:rFonts w:ascii="Times New Roman" w:cs="Times New Roman" w:eastAsia="Times New Roman" w:hAnsi="Times New Roman"/>
      <w:b w:val="1"/>
      <w:bCs w:val="1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 w:val="1"/>
    <w:rsid w:val="00184A95"/>
    <w:pPr>
      <w:ind w:left="859"/>
      <w:jc w:val="both"/>
    </w:pPr>
    <w:rPr>
      <w:sz w:val="24"/>
      <w:szCs w:val="24"/>
    </w:rPr>
  </w:style>
  <w:style w:type="character" w:styleId="a4" w:customStyle="1">
    <w:name w:val="Основной текст Знак"/>
    <w:basedOn w:val="a0"/>
    <w:link w:val="a3"/>
    <w:uiPriority w:val="1"/>
    <w:rsid w:val="00184A95"/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a5">
    <w:name w:val="List Paragraph"/>
    <w:aliases w:val="основний,Основний"/>
    <w:basedOn w:val="a"/>
    <w:link w:val="a6"/>
    <w:uiPriority w:val="34"/>
    <w:qFormat w:val="1"/>
    <w:rsid w:val="00184A95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rsid w:val="00184A95"/>
    <w:pPr>
      <w:ind w:left="105"/>
    </w:pPr>
  </w:style>
  <w:style w:type="character" w:styleId="a7">
    <w:name w:val="Hyperlink"/>
    <w:basedOn w:val="a0"/>
    <w:uiPriority w:val="99"/>
    <w:unhideWhenUsed w:val="1"/>
    <w:rsid w:val="00184A9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84A9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184A9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  <w:lang w:val="ru-RU"/>
    </w:rPr>
  </w:style>
  <w:style w:type="paragraph" w:styleId="a9">
    <w:name w:val="Normal (Web)"/>
    <w:basedOn w:val="a"/>
    <w:uiPriority w:val="99"/>
    <w:unhideWhenUsed w:val="1"/>
    <w:rsid w:val="00184A95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character" w:styleId="a6" w:customStyle="1">
    <w:name w:val="Абзац списка Знак"/>
    <w:aliases w:val="основний Знак,Основний Знак"/>
    <w:link w:val="a5"/>
    <w:uiPriority w:val="34"/>
    <w:locked w:val="1"/>
    <w:rsid w:val="00184A95"/>
    <w:rPr>
      <w:rFonts w:ascii="Times New Roman" w:cs="Times New Roman" w:eastAsia="Times New Roman" w:hAnsi="Times New Roman"/>
      <w:kern w:val="0"/>
    </w:rPr>
  </w:style>
  <w:style w:type="character" w:styleId="aa">
    <w:name w:val="Unresolved Mention"/>
    <w:basedOn w:val="a0"/>
    <w:uiPriority w:val="99"/>
    <w:semiHidden w:val="1"/>
    <w:unhideWhenUsed w:val="1"/>
    <w:rsid w:val="008D7DEC"/>
    <w:rPr>
      <w:color w:val="605e5c"/>
      <w:shd w:color="auto" w:fill="e1dfdd" w:val="clear"/>
    </w:rPr>
  </w:style>
  <w:style w:type="character" w:styleId="40" w:customStyle="1">
    <w:name w:val="Заголовок 4 Знак"/>
    <w:basedOn w:val="a0"/>
    <w:link w:val="4"/>
    <w:uiPriority w:val="9"/>
    <w:semiHidden w:val="1"/>
    <w:rsid w:val="004B70B9"/>
    <w:rPr>
      <w:rFonts w:asciiTheme="majorHAnsi" w:cstheme="majorBidi" w:eastAsiaTheme="majorEastAsia" w:hAnsiTheme="majorHAnsi"/>
      <w:i w:val="1"/>
      <w:iCs w:val="1"/>
      <w:color w:val="2f5496" w:themeColor="accent1" w:themeShade="0000BF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criticalthinking.org" TargetMode="External"/><Relationship Id="rId22" Type="http://schemas.openxmlformats.org/officeDocument/2006/relationships/hyperlink" Target="http://www.plato.stanford.edu" TargetMode="External"/><Relationship Id="rId21" Type="http://schemas.openxmlformats.org/officeDocument/2006/relationships/hyperlink" Target="http://www.criticalthinking.org/foundation" TargetMode="External"/><Relationship Id="rId24" Type="http://schemas.openxmlformats.org/officeDocument/2006/relationships/hyperlink" Target="http://www.pz.harvard.edu" TargetMode="External"/><Relationship Id="rId23" Type="http://schemas.openxmlformats.org/officeDocument/2006/relationships/hyperlink" Target="http://www.edutopi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jxdbs0zb/etychnyi-kodeks-chernivetskoho-natsionalnoho-universytetu.pdf" TargetMode="External"/><Relationship Id="rId26" Type="http://schemas.openxmlformats.org/officeDocument/2006/relationships/hyperlink" Target="http://www.prometheus.org.ua" TargetMode="External"/><Relationship Id="rId25" Type="http://schemas.openxmlformats.org/officeDocument/2006/relationships/hyperlink" Target="http://www.osvitoria.media" TargetMode="External"/><Relationship Id="rId28" Type="http://schemas.openxmlformats.org/officeDocument/2006/relationships/hyperlink" Target="https://finance.chnu.edu.ua/diialnist/osvitnia-diialnist/bakalavr/navchalni-dystsypliny/robochi-prohramy/" TargetMode="External"/><Relationship Id="rId27" Type="http://schemas.openxmlformats.org/officeDocument/2006/relationships/hyperlink" Target="http://www.ed-er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moodle.chnu.edu.ua/course/view.php?id=5016" TargetMode="External"/><Relationship Id="rId11" Type="http://schemas.openxmlformats.org/officeDocument/2006/relationships/hyperlink" Target="https://www.chnu.edu.ua/media/lnojdab4/pravyla-akademichnoi-dobrochesnosti.pdf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hyperlink" Target="https://archer.chnu.edu.ua/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5" Type="http://schemas.openxmlformats.org/officeDocument/2006/relationships/hyperlink" Target="http://www.igls.com.ua" TargetMode="External"/><Relationship Id="rId14" Type="http://schemas.openxmlformats.org/officeDocument/2006/relationships/hyperlink" Target="http://www.lawukraine.com" TargetMode="External"/><Relationship Id="rId17" Type="http://schemas.openxmlformats.org/officeDocument/2006/relationships/hyperlink" Target="http://www.lib.com.ua" TargetMode="External"/><Relationship Id="rId16" Type="http://schemas.openxmlformats.org/officeDocument/2006/relationships/hyperlink" Target="http://www.ier.kiev.ua" TargetMode="External"/><Relationship Id="rId19" Type="http://schemas.openxmlformats.org/officeDocument/2006/relationships/hyperlink" Target="http://www.alpha.rada.kiev.ua" TargetMode="External"/><Relationship Id="rId18" Type="http://schemas.openxmlformats.org/officeDocument/2006/relationships/hyperlink" Target="http://www.nbuv.gov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mlaoXRz5Ag2WxM4dcqJZtup2w==">CgMxLjAyDWgudXg2bm1mdjZ1Z3oyDmgucmlqeDhnMjljbm82Mg5oLjY3MXhlYnR3ZDF6MzgAciExUUdGSWtwWkpuY1NNaVN4bGk4bzBkTnMxLUNvVDZYZ3o=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2024-09-16T22:16:00Z</dcterms:created>
  <dc:creator>Svitlana</dc:creator>
</cp:coreProperties>
</file>