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23B0D3D" w:rsidR="0028798F" w:rsidRPr="00533D6F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533D6F">
        <w:rPr>
          <w:b/>
          <w:color w:val="632423" w:themeColor="accent2" w:themeShade="80"/>
          <w:sz w:val="28"/>
          <w:szCs w:val="28"/>
        </w:rPr>
        <w:t>«</w:t>
      </w:r>
      <w:r w:rsidR="00533D6F" w:rsidRPr="00533D6F">
        <w:rPr>
          <w:b/>
          <w:bCs/>
          <w:color w:val="632423" w:themeColor="accent2" w:themeShade="80"/>
          <w:kern w:val="24"/>
          <w:sz w:val="28"/>
          <w:szCs w:val="28"/>
        </w:rPr>
        <w:t>СТАТИСТИКА ПРАЦІ</w:t>
      </w:r>
      <w:r w:rsidRPr="00533D6F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5B8A241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>–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126B55"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237F9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126B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64ACC2EA" w:rsidR="00CA1254" w:rsidRPr="00F01298" w:rsidRDefault="002C4F3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3C7B6263" w:rsidR="00CA1254" w:rsidRPr="00F01298" w:rsidRDefault="002237F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237F9">
              <w:rPr>
                <w:sz w:val="28"/>
                <w:szCs w:val="28"/>
              </w:rPr>
              <w:t>0</w:t>
            </w:r>
            <w:r w:rsidR="002C4F35">
              <w:rPr>
                <w:sz w:val="28"/>
                <w:szCs w:val="28"/>
              </w:rPr>
              <w:t>51</w:t>
            </w:r>
            <w:r w:rsidRPr="002237F9">
              <w:rPr>
                <w:sz w:val="28"/>
                <w:szCs w:val="28"/>
              </w:rPr>
              <w:t xml:space="preserve"> </w:t>
            </w:r>
            <w:r w:rsidR="002C4F35">
              <w:rPr>
                <w:sz w:val="28"/>
                <w:szCs w:val="28"/>
              </w:rPr>
              <w:t>Економіка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308D39B2" w:rsidR="00CA1254" w:rsidRPr="00F01298" w:rsidRDefault="002237F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237F9">
              <w:rPr>
                <w:sz w:val="28"/>
                <w:szCs w:val="28"/>
              </w:rPr>
              <w:t>0</w:t>
            </w:r>
            <w:r w:rsidR="002C4F35">
              <w:rPr>
                <w:sz w:val="28"/>
                <w:szCs w:val="28"/>
              </w:rPr>
              <w:t>5</w:t>
            </w:r>
            <w:r w:rsidRPr="002237F9">
              <w:rPr>
                <w:sz w:val="28"/>
                <w:szCs w:val="28"/>
              </w:rPr>
              <w:t xml:space="preserve"> </w:t>
            </w:r>
            <w:r w:rsidR="002C4F35" w:rsidRPr="00F01298">
              <w:rPr>
                <w:bCs/>
                <w:sz w:val="28"/>
                <w:szCs w:val="28"/>
              </w:rPr>
              <w:t>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6A7B99BB" w:rsidR="00CA1254" w:rsidRPr="00F01298" w:rsidRDefault="002237F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237F9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51FB1080" w14:textId="77777777" w:rsidR="002C4F35" w:rsidRPr="005B194F" w:rsidRDefault="002C4F35" w:rsidP="002C4F35">
            <w:pPr>
              <w:pStyle w:val="TableParagraph"/>
              <w:ind w:left="0"/>
              <w:rPr>
                <w:color w:val="000000"/>
                <w:sz w:val="28"/>
                <w:szCs w:val="28"/>
              </w:rPr>
            </w:pPr>
            <w:r w:rsidRPr="00813DF1">
              <w:rPr>
                <w:color w:val="000000"/>
                <w:sz w:val="28"/>
                <w:szCs w:val="28"/>
              </w:rPr>
              <w:t>Лопатинський Юрій Михайлович,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3DF1">
              <w:rPr>
                <w:color w:val="000000"/>
                <w:sz w:val="28"/>
                <w:szCs w:val="28"/>
              </w:rPr>
              <w:t>д.е.н</w:t>
            </w:r>
            <w:proofErr w:type="spellEnd"/>
            <w:r w:rsidRPr="00813DF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13DF1">
              <w:rPr>
                <w:color w:val="000000"/>
                <w:sz w:val="28"/>
                <w:szCs w:val="28"/>
              </w:rPr>
              <w:t xml:space="preserve"> професор, </w:t>
            </w:r>
            <w:r>
              <w:rPr>
                <w:color w:val="000000"/>
                <w:sz w:val="28"/>
                <w:szCs w:val="28"/>
              </w:rPr>
              <w:t>професор</w:t>
            </w:r>
            <w:r w:rsidRPr="00813DF1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</w:p>
          <w:p w14:paraId="478BDDDC" w14:textId="27B4D3FF" w:rsidR="00371D03" w:rsidRPr="00F01298" w:rsidRDefault="00E84319" w:rsidP="002C4F3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2C4F35" w:rsidRPr="00BB70FB">
                <w:rPr>
                  <w:rStyle w:val="a6"/>
                  <w:sz w:val="28"/>
                  <w:szCs w:val="28"/>
                </w:rPr>
                <w:t>https://bup.chnu.edu.ua/pro-nas/kolektyv-kafedry/lopatynskyi-yurii-mykhailovych/</w:t>
              </w:r>
            </w:hyperlink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649C54D5" w:rsidR="00371D03" w:rsidRPr="0032231D" w:rsidRDefault="0032231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2231D">
              <w:rPr>
                <w:b/>
                <w:bCs/>
                <w:color w:val="000000"/>
                <w:kern w:val="24"/>
                <w:sz w:val="28"/>
                <w:szCs w:val="28"/>
              </w:rPr>
              <w:t>509-464</w:t>
            </w:r>
          </w:p>
        </w:tc>
      </w:tr>
      <w:tr w:rsidR="00813DF1" w14:paraId="46CC40B9" w14:textId="77777777" w:rsidTr="00490C48">
        <w:tc>
          <w:tcPr>
            <w:tcW w:w="3431" w:type="dxa"/>
          </w:tcPr>
          <w:p w14:paraId="7E6A0C3F" w14:textId="1C7B7626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BF32353" w:rsidR="00813DF1" w:rsidRPr="00813DF1" w:rsidRDefault="00E84319" w:rsidP="00813DF1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2C4F35" w:rsidRPr="00813DF1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y</w:t>
              </w:r>
              <w:r w:rsidR="002C4F35" w:rsidRPr="005B194F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C4F35" w:rsidRPr="00813DF1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lopatynskyi</w:t>
              </w:r>
              <w:r w:rsidR="002C4F35" w:rsidRPr="005B194F">
                <w:rPr>
                  <w:rStyle w:val="a6"/>
                  <w:bCs/>
                  <w:kern w:val="24"/>
                  <w:sz w:val="28"/>
                  <w:szCs w:val="28"/>
                </w:rPr>
                <w:t>@</w:t>
              </w:r>
              <w:r w:rsidR="002C4F35" w:rsidRPr="00813DF1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chnu</w:t>
              </w:r>
              <w:r w:rsidR="002C4F35" w:rsidRPr="005B194F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C4F35" w:rsidRPr="00813DF1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edu</w:t>
              </w:r>
              <w:r w:rsidR="002C4F35" w:rsidRPr="005B194F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C4F35" w:rsidRPr="00813DF1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ua</w:t>
              </w:r>
            </w:hyperlink>
            <w:r w:rsidR="002C4F35" w:rsidRPr="00813DF1">
              <w:rPr>
                <w:bCs/>
                <w:kern w:val="24"/>
                <w:sz w:val="28"/>
                <w:szCs w:val="28"/>
              </w:rPr>
              <w:t>;</w:t>
            </w:r>
            <w:hyperlink r:id="rId9" w:history="1"/>
          </w:p>
        </w:tc>
      </w:tr>
      <w:tr w:rsidR="00813DF1" w14:paraId="5E2E4CEE" w14:textId="77777777" w:rsidTr="00490C48">
        <w:tc>
          <w:tcPr>
            <w:tcW w:w="3431" w:type="dxa"/>
          </w:tcPr>
          <w:p w14:paraId="1B476119" w14:textId="474F55C2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380A2AB8" w:rsidR="00813DF1" w:rsidRPr="00875039" w:rsidRDefault="00E84319" w:rsidP="00813DF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875039" w:rsidRPr="00875039">
                <w:rPr>
                  <w:rStyle w:val="a6"/>
                  <w:bCs/>
                  <w:kern w:val="24"/>
                  <w:sz w:val="28"/>
                  <w:szCs w:val="28"/>
                  <w:lang w:eastAsia="ru-RU"/>
                </w:rPr>
                <w:t>https://moodle.chnu.edu.ua/course/view.php?id=311</w:t>
              </w:r>
            </w:hyperlink>
          </w:p>
        </w:tc>
      </w:tr>
      <w:tr w:rsidR="00813DF1" w14:paraId="5D16B02E" w14:textId="77777777" w:rsidTr="00490C48">
        <w:tc>
          <w:tcPr>
            <w:tcW w:w="3431" w:type="dxa"/>
          </w:tcPr>
          <w:p w14:paraId="21B97874" w14:textId="2C5A506C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40F4A3D7" w:rsidR="00813DF1" w:rsidRPr="00F01298" w:rsidRDefault="00813DF1" w:rsidP="00813D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6F055DE" w14:textId="780B7386" w:rsidR="007C2F42" w:rsidRDefault="00F1666F" w:rsidP="007C2F42">
      <w:pPr>
        <w:ind w:firstLine="709"/>
        <w:jc w:val="both"/>
        <w:rPr>
          <w:sz w:val="28"/>
          <w:szCs w:val="28"/>
        </w:rPr>
      </w:pPr>
      <w:r w:rsidRPr="00F1666F">
        <w:rPr>
          <w:sz w:val="28"/>
          <w:szCs w:val="28"/>
        </w:rPr>
        <w:t>Навчальну дисципліну «Статистика праці» віднесено до групи вибіркових дисциплін циклу професійної та практичної підготовки ОР «Бакалавр» за освітньою програмою «</w:t>
      </w:r>
      <w:r w:rsidR="007B3782">
        <w:rPr>
          <w:sz w:val="28"/>
          <w:szCs w:val="28"/>
        </w:rPr>
        <w:t>Управління персоналом та економіка праці</w:t>
      </w:r>
      <w:r w:rsidRPr="00F1666F">
        <w:rPr>
          <w:sz w:val="28"/>
          <w:szCs w:val="28"/>
        </w:rPr>
        <w:t>» спеціальності 0</w:t>
      </w:r>
      <w:r w:rsidR="007B3782">
        <w:rPr>
          <w:sz w:val="28"/>
          <w:szCs w:val="28"/>
        </w:rPr>
        <w:t>51</w:t>
      </w:r>
      <w:r w:rsidRPr="00F1666F">
        <w:rPr>
          <w:sz w:val="28"/>
          <w:szCs w:val="28"/>
        </w:rPr>
        <w:t xml:space="preserve"> «</w:t>
      </w:r>
      <w:r w:rsidR="007B3782">
        <w:rPr>
          <w:sz w:val="28"/>
          <w:szCs w:val="28"/>
        </w:rPr>
        <w:t>Економіка»</w:t>
      </w:r>
      <w:r w:rsidRPr="00F1666F">
        <w:rPr>
          <w:sz w:val="28"/>
          <w:szCs w:val="28"/>
        </w:rPr>
        <w:t>. Вивчення дисципліни повинне сприяти формуванню висококваліфікованих фахівців у галузі управління персоналом та економіки праці. Програма та тематичний план дисципліни орієнтовані на глибоке та ґрунтовне засвоєння студентами статистичних методів збирання, оброблення та аналізу інформації стосовно явищ та процесів у сфері праці та на ринку праці, які доцільно використовувати в сучасних умовах при проведенні статистичного дослідження.</w:t>
      </w:r>
    </w:p>
    <w:p w14:paraId="78F3FCF9" w14:textId="1343627C" w:rsidR="00F1666F" w:rsidRDefault="007C2F42" w:rsidP="00F1666F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7C2F42">
        <w:rPr>
          <w:color w:val="000000"/>
          <w:kern w:val="24"/>
          <w:sz w:val="28"/>
          <w:szCs w:val="28"/>
        </w:rPr>
        <w:t>Метою навчально</w:t>
      </w:r>
      <w:r>
        <w:rPr>
          <w:color w:val="000000"/>
          <w:kern w:val="24"/>
          <w:sz w:val="28"/>
          <w:szCs w:val="28"/>
        </w:rPr>
        <w:t>ї</w:t>
      </w:r>
      <w:r w:rsidRPr="007C2F4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дисципліни</w:t>
      </w:r>
      <w:r w:rsidRPr="007C2F42">
        <w:rPr>
          <w:color w:val="000000"/>
          <w:kern w:val="24"/>
          <w:sz w:val="28"/>
          <w:szCs w:val="28"/>
        </w:rPr>
        <w:t xml:space="preserve"> «</w:t>
      </w:r>
      <w:r w:rsidR="00F1666F">
        <w:rPr>
          <w:color w:val="000000"/>
          <w:kern w:val="24"/>
          <w:sz w:val="28"/>
          <w:szCs w:val="28"/>
        </w:rPr>
        <w:t>Статистика праці</w:t>
      </w:r>
      <w:r w:rsidRPr="007C2F42">
        <w:rPr>
          <w:color w:val="000000"/>
          <w:kern w:val="24"/>
          <w:sz w:val="28"/>
          <w:szCs w:val="28"/>
        </w:rPr>
        <w:t xml:space="preserve">» є </w:t>
      </w:r>
      <w:r w:rsidR="00F1666F">
        <w:rPr>
          <w:color w:val="000000"/>
          <w:kern w:val="24"/>
          <w:sz w:val="28"/>
          <w:szCs w:val="28"/>
        </w:rPr>
        <w:t>в</w:t>
      </w:r>
      <w:r w:rsidR="00F1666F" w:rsidRPr="00F1666F">
        <w:rPr>
          <w:color w:val="000000"/>
          <w:kern w:val="24"/>
          <w:sz w:val="28"/>
          <w:szCs w:val="28"/>
        </w:rPr>
        <w:t>ивчення студентами методологічних та методичних питань статистичного дослідження явищ і процесів у сфері праці, принципів організації статистичних спостережень, методик розрахунку показників, прийомів статистичного аналізу та подання інформації. Оволодіння цим курсом повинне виробити у студентів навички практичного використання статистичних методів та прийомів в процесі прийняття управлінських рішень</w:t>
      </w:r>
      <w:r w:rsidR="00F1666F">
        <w:rPr>
          <w:color w:val="000000"/>
          <w:kern w:val="24"/>
          <w:sz w:val="28"/>
          <w:szCs w:val="28"/>
        </w:rPr>
        <w:t>.</w:t>
      </w:r>
    </w:p>
    <w:p w14:paraId="1B25E2D3" w14:textId="177B7FD6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77E3FDA5" w14:textId="00869908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46A98592" w14:textId="70761EAF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7E841369" w14:textId="2BE99C74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3C23EAFA" w14:textId="48FA54AF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468F8B93" w14:textId="0BEA639E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39FC5660" w14:textId="6A5BE5B2" w:rsidR="00E069CC" w:rsidRDefault="00E069CC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6287CDFB" w14:textId="77777777" w:rsidR="007B3782" w:rsidRDefault="007B3782" w:rsidP="00F1666F">
      <w:pPr>
        <w:ind w:firstLine="709"/>
        <w:jc w:val="both"/>
        <w:rPr>
          <w:color w:val="000000"/>
          <w:kern w:val="24"/>
          <w:sz w:val="28"/>
          <w:szCs w:val="28"/>
        </w:rPr>
      </w:pPr>
    </w:p>
    <w:p w14:paraId="6341DEE7" w14:textId="47007E24" w:rsidR="00E710F2" w:rsidRDefault="009440C0" w:rsidP="00F1666F">
      <w:pPr>
        <w:ind w:firstLine="709"/>
        <w:jc w:val="both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632C011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3B9DBC74" w:rsidR="00F547E8" w:rsidRPr="00F01298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E069CC" w:rsidRPr="00E069CC">
              <w:rPr>
                <w:b/>
                <w:bCs/>
                <w:sz w:val="28"/>
                <w:szCs w:val="28"/>
              </w:rPr>
              <w:t>МЕТОДОЛОГІЧНІ ЗАСАДИ ТА ДЖЕРЕЛА ІНФОРМАЦІЇ СТАТИСТИКИ ПРАЦІ</w:t>
            </w:r>
          </w:p>
        </w:tc>
      </w:tr>
      <w:tr w:rsidR="00F01298" w:rsidRPr="00F01298" w14:paraId="50E6B1C3" w14:textId="77777777" w:rsidTr="00F01298">
        <w:tc>
          <w:tcPr>
            <w:tcW w:w="1229" w:type="dxa"/>
          </w:tcPr>
          <w:p w14:paraId="6BDCF995" w14:textId="2AB3C0B5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1A638197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Предмет, метод і завдання статистики праці.</w:t>
            </w:r>
          </w:p>
        </w:tc>
      </w:tr>
      <w:tr w:rsidR="00F01298" w:rsidRPr="00F01298" w14:paraId="7DE1658A" w14:textId="77777777" w:rsidTr="00F01298">
        <w:tc>
          <w:tcPr>
            <w:tcW w:w="1229" w:type="dxa"/>
          </w:tcPr>
          <w:p w14:paraId="736616EA" w14:textId="7C3B7FAE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52C6CC82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Джерела статистичних даних про працю та зайнятість населення.</w:t>
            </w:r>
          </w:p>
        </w:tc>
      </w:tr>
      <w:tr w:rsidR="00F01298" w:rsidRPr="00F01298" w14:paraId="7A7593B9" w14:textId="77777777" w:rsidTr="00F01298">
        <w:tc>
          <w:tcPr>
            <w:tcW w:w="1229" w:type="dxa"/>
          </w:tcPr>
          <w:p w14:paraId="7A82D4D0" w14:textId="3D28FF19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490C4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0C4B3F76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Міжнародні стандарти та національні особливості формування системи показників статистики праці.</w:t>
            </w:r>
          </w:p>
        </w:tc>
      </w:tr>
      <w:tr w:rsidR="00F01298" w:rsidRPr="00F01298" w14:paraId="3030A273" w14:textId="77777777" w:rsidTr="00F01298">
        <w:tc>
          <w:tcPr>
            <w:tcW w:w="1229" w:type="dxa"/>
          </w:tcPr>
          <w:p w14:paraId="40F3D6E6" w14:textId="282AA2A5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3C200A31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Статистика чисельності, складу та руху робочої сили.</w:t>
            </w:r>
          </w:p>
        </w:tc>
      </w:tr>
      <w:tr w:rsidR="00E069CC" w:rsidRPr="00F01298" w14:paraId="6E6E98F4" w14:textId="77777777" w:rsidTr="00F01298">
        <w:tc>
          <w:tcPr>
            <w:tcW w:w="1229" w:type="dxa"/>
          </w:tcPr>
          <w:p w14:paraId="11F8DCFB" w14:textId="2D1C822A" w:rsidR="00E069CC" w:rsidRPr="00F01298" w:rsidRDefault="00E069C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13423817" w14:textId="3D4956F2" w:rsidR="00E069CC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Статистика робочого часу.</w:t>
            </w:r>
          </w:p>
        </w:tc>
      </w:tr>
      <w:tr w:rsidR="00F01298" w:rsidRPr="00F01298" w14:paraId="1FF3E6D8" w14:textId="77777777" w:rsidTr="00F01298">
        <w:tc>
          <w:tcPr>
            <w:tcW w:w="9915" w:type="dxa"/>
            <w:gridSpan w:val="2"/>
          </w:tcPr>
          <w:p w14:paraId="0626F78F" w14:textId="7CAB4AB1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E069CC">
              <w:rPr>
                <w:b/>
                <w:sz w:val="28"/>
                <w:szCs w:val="28"/>
              </w:rPr>
              <w:t>МОДУЛЬ 2. СТАТИСТИЧНИЙ АНАЛІЗ СТАНУ ТА РОЗВИТКУ РИНКУ ПРАЦІ</w:t>
            </w:r>
          </w:p>
        </w:tc>
      </w:tr>
      <w:tr w:rsidR="00F01298" w:rsidRPr="00F01298" w14:paraId="2E231211" w14:textId="77777777" w:rsidTr="00F01298">
        <w:tc>
          <w:tcPr>
            <w:tcW w:w="1229" w:type="dxa"/>
          </w:tcPr>
          <w:p w14:paraId="7A4524AE" w14:textId="3A6F7B54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E069CC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499D2F0E" w14:textId="7EFCB2C6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Аналіз функціонування робочих місць.</w:t>
            </w:r>
          </w:p>
        </w:tc>
      </w:tr>
      <w:tr w:rsidR="00F01298" w:rsidRPr="00F01298" w14:paraId="17AFFA4A" w14:textId="77777777" w:rsidTr="00F01298">
        <w:tc>
          <w:tcPr>
            <w:tcW w:w="1229" w:type="dxa"/>
          </w:tcPr>
          <w:p w14:paraId="0DAEFAAA" w14:textId="2D7FC10B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E069CC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3AE8D06C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Статистика продуктивності праці.</w:t>
            </w:r>
          </w:p>
        </w:tc>
      </w:tr>
      <w:tr w:rsidR="00F01298" w:rsidRPr="00F01298" w14:paraId="49B38862" w14:textId="77777777" w:rsidTr="00F01298">
        <w:tc>
          <w:tcPr>
            <w:tcW w:w="1229" w:type="dxa"/>
          </w:tcPr>
          <w:p w14:paraId="5CF40D5D" w14:textId="1E7E61C8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E069CC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38599102" w:rsidR="00F01298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Статистика оплати праці та вартості робочої сили.</w:t>
            </w:r>
          </w:p>
        </w:tc>
      </w:tr>
      <w:tr w:rsidR="00A720BA" w:rsidRPr="00F01298" w14:paraId="1B18240F" w14:textId="77777777" w:rsidTr="00F01298">
        <w:tc>
          <w:tcPr>
            <w:tcW w:w="1229" w:type="dxa"/>
          </w:tcPr>
          <w:p w14:paraId="38C2A181" w14:textId="6E55FEFC" w:rsidR="00A720BA" w:rsidRPr="00F01298" w:rsidRDefault="00A720BA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E069CC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1DBA9CA5" w14:textId="3D3652E4" w:rsidR="00A720BA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Статистичне дослідження економічної активності населення, зайнятості та безробіття.</w:t>
            </w:r>
          </w:p>
        </w:tc>
      </w:tr>
      <w:tr w:rsidR="00E069CC" w:rsidRPr="00F01298" w14:paraId="21B1E88D" w14:textId="77777777" w:rsidTr="00E069CC">
        <w:trPr>
          <w:trHeight w:val="70"/>
        </w:trPr>
        <w:tc>
          <w:tcPr>
            <w:tcW w:w="1229" w:type="dxa"/>
          </w:tcPr>
          <w:p w14:paraId="496056F0" w14:textId="4DDC8537" w:rsidR="00E069CC" w:rsidRPr="00F01298" w:rsidRDefault="00E069C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0FF4140D" w14:textId="6EC2B397" w:rsidR="00E069CC" w:rsidRPr="00E069CC" w:rsidRDefault="00E069CC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E069CC">
              <w:rPr>
                <w:bCs/>
                <w:color w:val="000000"/>
                <w:sz w:val="28"/>
                <w:szCs w:val="28"/>
              </w:rPr>
              <w:t>Статистичне вивчення соціально-трудових відносин.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610FCE61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2A6847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2A6847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2A684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2A6847">
        <w:rPr>
          <w:color w:val="000000" w:themeColor="text1"/>
          <w:kern w:val="24"/>
          <w:sz w:val="28"/>
          <w:szCs w:val="28"/>
        </w:rPr>
        <w:t>студенто</w:t>
      </w:r>
      <w:r w:rsidR="00B76FC8" w:rsidRPr="002A6847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2A684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2A684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BBDC3CB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B194F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A0CFEEB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9823745" w14:textId="77777777" w:rsidR="00E84319" w:rsidRPr="0077689B" w:rsidRDefault="00E84319" w:rsidP="00E84319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38F5053" w14:textId="77777777" w:rsidR="00E84319" w:rsidRPr="0077689B" w:rsidRDefault="00E84319" w:rsidP="00E84319">
      <w:pPr>
        <w:pStyle w:val="a4"/>
        <w:numPr>
          <w:ilvl w:val="0"/>
          <w:numId w:val="12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7C09362C" w14:textId="77777777" w:rsidR="00E84319" w:rsidRPr="0077689B" w:rsidRDefault="00E84319" w:rsidP="00E84319">
      <w:pPr>
        <w:pStyle w:val="a4"/>
        <w:numPr>
          <w:ilvl w:val="0"/>
          <w:numId w:val="12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</w:t>
      </w:r>
      <w:r w:rsidRPr="0077689B">
        <w:rPr>
          <w:bCs/>
          <w:color w:val="000000"/>
          <w:sz w:val="28"/>
          <w:szCs w:val="24"/>
        </w:rPr>
        <w:lastRenderedPageBreak/>
        <w:t xml:space="preserve">Чернівецькому національному університету імені Юрія Федьковича» </w:t>
      </w:r>
      <w:hyperlink r:id="rId12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087034C4" w14:textId="77777777" w:rsidR="00E84319" w:rsidRPr="0077689B" w:rsidRDefault="00E84319" w:rsidP="00E84319">
      <w:pPr>
        <w:pStyle w:val="a4"/>
        <w:numPr>
          <w:ilvl w:val="0"/>
          <w:numId w:val="12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53A50391" w14:textId="77777777" w:rsidR="00E84319" w:rsidRPr="0077689B" w:rsidRDefault="00E84319" w:rsidP="00E84319">
      <w:pPr>
        <w:pStyle w:val="a4"/>
        <w:numPr>
          <w:ilvl w:val="0"/>
          <w:numId w:val="12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4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ED030E7" w14:textId="77777777" w:rsidR="009B7D0B" w:rsidRDefault="009B7D0B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3" w:name="_GoBack"/>
      <w:bookmarkEnd w:id="3"/>
    </w:p>
    <w:p w14:paraId="3A2CBE75" w14:textId="4B3296CE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5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6">
        <w:r w:rsidRPr="00490C48">
          <w:rPr>
            <w:sz w:val="28"/>
            <w:szCs w:val="28"/>
          </w:rPr>
          <w:t xml:space="preserve"> </w:t>
        </w:r>
      </w:hyperlink>
      <w:hyperlink r:id="rId17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61935828" w14:textId="076CCC10" w:rsidR="009B6495" w:rsidRPr="00490C48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57471FE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bookmarkStart w:id="4" w:name="_Hlk213431186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069CC">
        <w:rPr>
          <w:b/>
          <w:bCs/>
          <w:i/>
          <w:iCs/>
          <w:color w:val="632423" w:themeColor="accent2" w:themeShade="80"/>
          <w:sz w:val="28"/>
          <w:szCs w:val="28"/>
        </w:rPr>
        <w:t>Статистика праці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bookmarkEnd w:id="4"/>
    <w:p w14:paraId="105A026B" w14:textId="1000EB3A" w:rsidR="00554C48" w:rsidRDefault="009B6495" w:rsidP="00C20354">
      <w:pPr>
        <w:pStyle w:val="a4"/>
        <w:tabs>
          <w:tab w:val="left" w:pos="0"/>
        </w:tabs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A12043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70267"/>
    <w:rsid w:val="000C17AD"/>
    <w:rsid w:val="000D008C"/>
    <w:rsid w:val="000D59A5"/>
    <w:rsid w:val="000F018E"/>
    <w:rsid w:val="00114E11"/>
    <w:rsid w:val="00126B55"/>
    <w:rsid w:val="001E34A8"/>
    <w:rsid w:val="002237F9"/>
    <w:rsid w:val="0022660A"/>
    <w:rsid w:val="00242E85"/>
    <w:rsid w:val="00277334"/>
    <w:rsid w:val="00282A8B"/>
    <w:rsid w:val="0028798F"/>
    <w:rsid w:val="00287A0C"/>
    <w:rsid w:val="002A6847"/>
    <w:rsid w:val="002C494F"/>
    <w:rsid w:val="002C4F35"/>
    <w:rsid w:val="0032231D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90C48"/>
    <w:rsid w:val="004C3E97"/>
    <w:rsid w:val="004D05DA"/>
    <w:rsid w:val="004D07A2"/>
    <w:rsid w:val="004E28E7"/>
    <w:rsid w:val="00510F42"/>
    <w:rsid w:val="005173E4"/>
    <w:rsid w:val="00531035"/>
    <w:rsid w:val="00533D6F"/>
    <w:rsid w:val="005451FE"/>
    <w:rsid w:val="00554C48"/>
    <w:rsid w:val="0057344F"/>
    <w:rsid w:val="00586867"/>
    <w:rsid w:val="005962F3"/>
    <w:rsid w:val="005A7C49"/>
    <w:rsid w:val="005B194F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B3782"/>
    <w:rsid w:val="007C2F42"/>
    <w:rsid w:val="007E2B5E"/>
    <w:rsid w:val="007F6FB6"/>
    <w:rsid w:val="00812558"/>
    <w:rsid w:val="00813DF1"/>
    <w:rsid w:val="0082412D"/>
    <w:rsid w:val="00842358"/>
    <w:rsid w:val="008532F2"/>
    <w:rsid w:val="008621C2"/>
    <w:rsid w:val="008743EF"/>
    <w:rsid w:val="00875039"/>
    <w:rsid w:val="0089521E"/>
    <w:rsid w:val="008B2C9D"/>
    <w:rsid w:val="008E5E6A"/>
    <w:rsid w:val="008F3961"/>
    <w:rsid w:val="008F4C05"/>
    <w:rsid w:val="009440C0"/>
    <w:rsid w:val="00953BB7"/>
    <w:rsid w:val="009A3255"/>
    <w:rsid w:val="009B6495"/>
    <w:rsid w:val="009B7D0B"/>
    <w:rsid w:val="009D17EA"/>
    <w:rsid w:val="009F3874"/>
    <w:rsid w:val="00A12043"/>
    <w:rsid w:val="00A50D19"/>
    <w:rsid w:val="00A720BA"/>
    <w:rsid w:val="00AD052A"/>
    <w:rsid w:val="00AD06D4"/>
    <w:rsid w:val="00AD532E"/>
    <w:rsid w:val="00AF2B34"/>
    <w:rsid w:val="00B133CA"/>
    <w:rsid w:val="00B277CB"/>
    <w:rsid w:val="00B27D60"/>
    <w:rsid w:val="00B76FC8"/>
    <w:rsid w:val="00BE271A"/>
    <w:rsid w:val="00C20354"/>
    <w:rsid w:val="00C43FA9"/>
    <w:rsid w:val="00C815BE"/>
    <w:rsid w:val="00C91EFC"/>
    <w:rsid w:val="00CA1254"/>
    <w:rsid w:val="00D01C9D"/>
    <w:rsid w:val="00D20CA0"/>
    <w:rsid w:val="00D27CD5"/>
    <w:rsid w:val="00D44AD5"/>
    <w:rsid w:val="00D75961"/>
    <w:rsid w:val="00D87C6E"/>
    <w:rsid w:val="00DA0C10"/>
    <w:rsid w:val="00DA11F2"/>
    <w:rsid w:val="00DA68D4"/>
    <w:rsid w:val="00DB5B9F"/>
    <w:rsid w:val="00DC5607"/>
    <w:rsid w:val="00E01315"/>
    <w:rsid w:val="00E069CC"/>
    <w:rsid w:val="00E2612B"/>
    <w:rsid w:val="00E41B39"/>
    <w:rsid w:val="00E44C8E"/>
    <w:rsid w:val="00E515C1"/>
    <w:rsid w:val="00E710F2"/>
    <w:rsid w:val="00E84319"/>
    <w:rsid w:val="00EB4BA8"/>
    <w:rsid w:val="00F01298"/>
    <w:rsid w:val="00F1666F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lopatynskyi@chnu.edu.ua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lopatynskyi-yurii-mykhailovych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" TargetMode="External"/><Relationship Id="rId10" Type="http://schemas.openxmlformats.org/officeDocument/2006/relationships/hyperlink" Target="https://moodle.chnu.edu.ua/course/view.php?id=3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todoriuk@chnu.edu.ua" TargetMode="External"/><Relationship Id="rId14" Type="http://schemas.openxmlformats.org/officeDocument/2006/relationships/hyperlink" Target="https://www.chnu.edu.ua/media/ni4ptvsk/polityka-vykorystannia-shtuchnoho-intelektu-ch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1925-6562-4AA3-ABA7-394F5315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4561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2025-10-25T15:40:00Z</dcterms:created>
  <dcterms:modified xsi:type="dcterms:W3CDTF">2025-11-12T09:47:00Z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16f35efb-2154-4dde-b6bd-3137b7dc4f61</vt:lpwstr>
  </property>
</Properties>
</file>