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828" w:rsidRDefault="005641A2" w:rsidP="008D082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24B0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План заходів </w:t>
      </w:r>
    </w:p>
    <w:p w:rsidR="00721B79" w:rsidRDefault="005641A2" w:rsidP="008D082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24B0E">
        <w:rPr>
          <w:rFonts w:ascii="Times New Roman" w:hAnsi="Times New Roman" w:cs="Times New Roman"/>
          <w:b/>
          <w:i/>
          <w:sz w:val="28"/>
          <w:szCs w:val="28"/>
          <w:lang w:val="uk-UA"/>
        </w:rPr>
        <w:t>подальшого удосконалення ОП «Менеджмент організацій і адміністрування» другого (магістерського) рівня вищої освіти на 202</w:t>
      </w:r>
      <w:r w:rsidR="00EC1371">
        <w:rPr>
          <w:rFonts w:ascii="Times New Roman" w:hAnsi="Times New Roman" w:cs="Times New Roman"/>
          <w:b/>
          <w:i/>
          <w:sz w:val="28"/>
          <w:szCs w:val="28"/>
          <w:lang w:val="uk-UA"/>
        </w:rPr>
        <w:t>5</w:t>
      </w:r>
      <w:r w:rsidRPr="00324B0E">
        <w:rPr>
          <w:rFonts w:ascii="Times New Roman" w:hAnsi="Times New Roman" w:cs="Times New Roman"/>
          <w:b/>
          <w:i/>
          <w:sz w:val="28"/>
          <w:szCs w:val="28"/>
          <w:lang w:val="uk-UA"/>
        </w:rPr>
        <w:t>-202</w:t>
      </w:r>
      <w:r w:rsidR="00EC1371">
        <w:rPr>
          <w:rFonts w:ascii="Times New Roman" w:hAnsi="Times New Roman" w:cs="Times New Roman"/>
          <w:b/>
          <w:i/>
          <w:sz w:val="28"/>
          <w:szCs w:val="28"/>
          <w:lang w:val="uk-UA"/>
        </w:rPr>
        <w:t>6</w:t>
      </w:r>
      <w:r w:rsidRPr="00324B0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324B0E">
        <w:rPr>
          <w:rFonts w:ascii="Times New Roman" w:hAnsi="Times New Roman" w:cs="Times New Roman"/>
          <w:b/>
          <w:i/>
          <w:sz w:val="28"/>
          <w:szCs w:val="28"/>
          <w:lang w:val="uk-UA"/>
        </w:rPr>
        <w:t>н.р</w:t>
      </w:r>
      <w:proofErr w:type="spellEnd"/>
      <w:r w:rsidRPr="00324B0E">
        <w:rPr>
          <w:rFonts w:ascii="Times New Roman" w:hAnsi="Times New Roman" w:cs="Times New Roman"/>
          <w:b/>
          <w:i/>
          <w:sz w:val="28"/>
          <w:szCs w:val="28"/>
          <w:lang w:val="uk-UA"/>
        </w:rPr>
        <w:t>. на основі висновку та рекомендацій Галузевої експертної ради щодо можливості акредитації освітньої програми (21.11.2023 р.)</w:t>
      </w:r>
    </w:p>
    <w:p w:rsidR="00CD5B3C" w:rsidRPr="00CD5B3C" w:rsidRDefault="00CD5B3C" w:rsidP="008D082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(П</w:t>
      </w:r>
      <w:r w:rsidRPr="00CD5B3C">
        <w:rPr>
          <w:rFonts w:ascii="Times New Roman" w:hAnsi="Times New Roman" w:cs="Times New Roman"/>
          <w:i/>
          <w:sz w:val="28"/>
          <w:szCs w:val="28"/>
          <w:lang w:val="uk-UA"/>
        </w:rPr>
        <w:t>ротокол №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3</w:t>
      </w:r>
      <w:r w:rsidRPr="00CD5B3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від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17.09.2024 р.)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5641A2" w:rsidTr="00EC1371">
        <w:tc>
          <w:tcPr>
            <w:tcW w:w="2972" w:type="dxa"/>
          </w:tcPr>
          <w:p w:rsidR="005641A2" w:rsidRPr="00C21479" w:rsidRDefault="005641A2" w:rsidP="005641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2147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Рекомендації з подальшого удосконалення </w:t>
            </w:r>
          </w:p>
        </w:tc>
        <w:tc>
          <w:tcPr>
            <w:tcW w:w="6373" w:type="dxa"/>
          </w:tcPr>
          <w:p w:rsidR="005641A2" w:rsidRPr="00C21479" w:rsidRDefault="005F043E" w:rsidP="005641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2147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Заходи </w:t>
            </w:r>
          </w:p>
        </w:tc>
      </w:tr>
      <w:tr w:rsidR="005641A2" w:rsidRPr="00834B1C" w:rsidTr="00EC1371">
        <w:tc>
          <w:tcPr>
            <w:tcW w:w="2972" w:type="dxa"/>
          </w:tcPr>
          <w:p w:rsidR="00834B1C" w:rsidRDefault="005F043E" w:rsidP="005641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043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Критерій 1.</w:t>
            </w:r>
            <w:r w:rsidR="00834B1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34B1C" w:rsidRPr="00C21479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Проєктування</w:t>
            </w:r>
            <w:proofErr w:type="spellEnd"/>
            <w:r w:rsidR="00834B1C" w:rsidRPr="00C21479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та цілі освітньої програми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641A2" w:rsidRPr="005641A2" w:rsidRDefault="005F043E" w:rsidP="005641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Активізувати роботу зі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стейкхолдерами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фахівцями галузі управління, у напрямку визначення їх рекомендацій щодо оновлення ОПП</w:t>
            </w:r>
          </w:p>
        </w:tc>
        <w:tc>
          <w:tcPr>
            <w:tcW w:w="6373" w:type="dxa"/>
          </w:tcPr>
          <w:p w:rsidR="005641A2" w:rsidRDefault="00834B1C" w:rsidP="00A25D64">
            <w:pPr>
              <w:pStyle w:val="a4"/>
              <w:numPr>
                <w:ilvl w:val="0"/>
                <w:numId w:val="1"/>
              </w:numPr>
              <w:ind w:left="34" w:firstLine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13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Продовжити реалізацію </w:t>
            </w:r>
            <w:proofErr w:type="spellStart"/>
            <w:r w:rsidRPr="00EC13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стейкхолдерського</w:t>
            </w:r>
            <w:proofErr w:type="spellEnd"/>
            <w:r w:rsidRPr="00EC13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підходу як принципу діяльності, що забезпечує реалізацію Страт</w:t>
            </w:r>
            <w:r w:rsidR="006B68F9" w:rsidRPr="00EC13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егії розвитку кафедри та Університету.</w:t>
            </w:r>
            <w:r w:rsidR="00343611" w:rsidRPr="00EC13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Проводити обговорення ОПП зі </w:t>
            </w:r>
            <w:r w:rsidR="00EC1371" w:rsidRPr="00EC13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здобувачами та іншими </w:t>
            </w:r>
            <w:proofErr w:type="spellStart"/>
            <w:r w:rsidR="00343611" w:rsidRPr="00EC13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стейкхолдерами</w:t>
            </w:r>
            <w:proofErr w:type="spellEnd"/>
            <w:r w:rsidR="00343611" w:rsidRPr="00EC13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враховувати їх пропозиції для оновлення ОПП. </w:t>
            </w:r>
          </w:p>
          <w:p w:rsidR="00EC1371" w:rsidRPr="00EC1371" w:rsidRDefault="00EC1371" w:rsidP="00A25D64">
            <w:pPr>
              <w:pStyle w:val="a4"/>
              <w:numPr>
                <w:ilvl w:val="0"/>
                <w:numId w:val="1"/>
              </w:numPr>
              <w:ind w:left="34" w:firstLine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Залучити представників академічної спільноти до святкування 150-річчя ЧНУ та проведення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Шумпетерівського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форуму.</w:t>
            </w:r>
          </w:p>
        </w:tc>
      </w:tr>
      <w:tr w:rsidR="005641A2" w:rsidRPr="00EC1371" w:rsidTr="00EC1371">
        <w:tc>
          <w:tcPr>
            <w:tcW w:w="2972" w:type="dxa"/>
          </w:tcPr>
          <w:p w:rsidR="00834B1C" w:rsidRPr="00834B1C" w:rsidRDefault="005F043E" w:rsidP="005F04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5F043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Критерій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2</w:t>
            </w:r>
            <w:r w:rsidRPr="005F043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34B1C" w:rsidRPr="00C21479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Структура та зміст освітньої програми.</w:t>
            </w:r>
          </w:p>
          <w:p w:rsidR="005641A2" w:rsidRPr="005641A2" w:rsidRDefault="005F043E" w:rsidP="005F04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метою дотримання практико-орієнтованості ОПП посилити практичну складову</w:t>
            </w:r>
          </w:p>
        </w:tc>
        <w:tc>
          <w:tcPr>
            <w:tcW w:w="6373" w:type="dxa"/>
          </w:tcPr>
          <w:p w:rsidR="005641A2" w:rsidRPr="00EC1371" w:rsidRDefault="00343611" w:rsidP="00EC1371">
            <w:pPr>
              <w:pStyle w:val="a4"/>
              <w:numPr>
                <w:ilvl w:val="0"/>
                <w:numId w:val="2"/>
              </w:numPr>
              <w:ind w:left="34" w:firstLine="3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13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Залучити до викладання Практикумів з бізнес-адміністрування та </w:t>
            </w:r>
            <w:proofErr w:type="spellStart"/>
            <w:r w:rsidRPr="00EC13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проєктного</w:t>
            </w:r>
            <w:proofErr w:type="spellEnd"/>
            <w:r w:rsidRPr="00EC13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менеджменту викладачів, які мають практичний досвід  управлінської діяльності. </w:t>
            </w:r>
            <w:r w:rsidR="00EC1371" w:rsidRPr="00EC13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Орієнтувати здобувачів проходити виробничу (переддипломну) практику не підприємствах (в організаціях, де вони працюють або планують свою </w:t>
            </w:r>
            <w:r w:rsidR="00EC13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майбутню професійну діяльність,</w:t>
            </w:r>
            <w:r w:rsidR="00EC1371" w:rsidRPr="00EC13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їх матеріалами  виконувати кваліфікаційні роботи</w:t>
            </w:r>
            <w:r w:rsidRPr="00EC13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9A4A58" w:rsidRPr="00EC1371" w:rsidRDefault="00A25D64" w:rsidP="00A25D64">
            <w:pPr>
              <w:pStyle w:val="a4"/>
              <w:numPr>
                <w:ilvl w:val="0"/>
                <w:numId w:val="2"/>
              </w:numPr>
              <w:ind w:left="34" w:right="4" w:firstLine="32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Активізувати партнерські відносини з керівництвом </w:t>
            </w:r>
            <w:r w:rsidR="009A4A58" w:rsidRPr="00EC1371">
              <w:rPr>
                <w:rFonts w:ascii="Times New Roman" w:hAnsi="Times New Roman" w:cs="Times New Roman" w:hint="cs"/>
                <w:sz w:val="24"/>
                <w:szCs w:val="24"/>
                <w:lang w:val="uk-UA"/>
              </w:rPr>
              <w:t>Школ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="009A4A58" w:rsidRPr="00EC1371">
              <w:rPr>
                <w:rFonts w:ascii="Times New Roman" w:hAnsi="Times New Roman" w:cs="Times New Roman" w:hint="cs"/>
                <w:sz w:val="24"/>
                <w:szCs w:val="24"/>
                <w:lang w:val="uk-UA"/>
              </w:rPr>
              <w:t xml:space="preserve"> менеджменту Університету Лотарингії (м. </w:t>
            </w:r>
            <w:proofErr w:type="spellStart"/>
            <w:r w:rsidR="009A4A58" w:rsidRPr="00EC1371">
              <w:rPr>
                <w:rFonts w:ascii="Times New Roman" w:hAnsi="Times New Roman" w:cs="Times New Roman" w:hint="cs"/>
                <w:sz w:val="24"/>
                <w:szCs w:val="24"/>
                <w:lang w:val="uk-UA"/>
              </w:rPr>
              <w:t>Мец</w:t>
            </w:r>
            <w:proofErr w:type="spellEnd"/>
            <w:r w:rsidR="00EC13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A4A58" w:rsidRPr="00EC1371">
              <w:rPr>
                <w:rFonts w:ascii="Times New Roman" w:hAnsi="Times New Roman" w:cs="Times New Roman" w:hint="cs"/>
                <w:sz w:val="24"/>
                <w:szCs w:val="24"/>
                <w:lang w:val="uk-UA"/>
              </w:rPr>
              <w:t xml:space="preserve"> Франція) (</w:t>
            </w:r>
            <w:r w:rsidR="009A4A58" w:rsidRPr="00EC1371">
              <w:rPr>
                <w:rFonts w:ascii="Times New Roman" w:hAnsi="Times New Roman" w:cs="Times New Roman" w:hint="cs"/>
                <w:sz w:val="24"/>
                <w:szCs w:val="24"/>
              </w:rPr>
              <w:t>IAE</w:t>
            </w:r>
            <w:r w:rsidR="009A4A58" w:rsidRPr="00EC1371">
              <w:rPr>
                <w:rFonts w:ascii="Times New Roman" w:hAnsi="Times New Roman" w:cs="Times New Roman" w:hint="cs"/>
                <w:sz w:val="24"/>
                <w:szCs w:val="24"/>
                <w:lang w:val="uk-UA"/>
              </w:rPr>
              <w:t xml:space="preserve"> </w:t>
            </w:r>
            <w:r w:rsidR="009A4A58" w:rsidRPr="00EC1371">
              <w:rPr>
                <w:rFonts w:ascii="Times New Roman" w:hAnsi="Times New Roman" w:cs="Times New Roman" w:hint="cs"/>
                <w:sz w:val="24"/>
                <w:szCs w:val="24"/>
              </w:rPr>
              <w:t>METZ</w:t>
            </w:r>
            <w:r w:rsidR="009A4A58" w:rsidRPr="00EC13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узгодити за необхідності </w:t>
            </w:r>
            <w:r w:rsidR="009A4A58" w:rsidRPr="00EC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робочі плани.</w:t>
            </w:r>
          </w:p>
        </w:tc>
      </w:tr>
      <w:tr w:rsidR="005641A2" w:rsidRPr="0073119C" w:rsidTr="00EC1371">
        <w:tc>
          <w:tcPr>
            <w:tcW w:w="2972" w:type="dxa"/>
          </w:tcPr>
          <w:p w:rsidR="00B40783" w:rsidRPr="00C21479" w:rsidRDefault="005F043E" w:rsidP="00A25D6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F043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Критерій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3. </w:t>
            </w:r>
            <w:r w:rsidR="00834B1C" w:rsidRPr="00C21479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Доступ до освітньої програми та визнання результатів навчання.</w:t>
            </w:r>
          </w:p>
          <w:p w:rsidR="005641A2" w:rsidRPr="005641A2" w:rsidRDefault="005F043E" w:rsidP="00A25D64">
            <w:pPr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 оновленні програм вступного фахового іспиту врахувати складові Програми ЄФВВ для спеціальності Менеджмент і розмістити її у вкладці «Абітурієнту»</w:t>
            </w:r>
          </w:p>
        </w:tc>
        <w:tc>
          <w:tcPr>
            <w:tcW w:w="6373" w:type="dxa"/>
          </w:tcPr>
          <w:p w:rsidR="00AD7AB9" w:rsidRPr="00A25D64" w:rsidRDefault="00A25D64" w:rsidP="00A25D64">
            <w:pPr>
              <w:pStyle w:val="a4"/>
              <w:numPr>
                <w:ilvl w:val="0"/>
                <w:numId w:val="3"/>
              </w:numPr>
              <w:ind w:left="0" w:firstLine="31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Постійно оновлювати інформацію </w:t>
            </w:r>
            <w:r w:rsidR="006440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вступників та здобувачів на сайті,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ктуалізувати</w:t>
            </w:r>
            <w:r w:rsidR="00AD7AB9" w:rsidRPr="00A25D6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6440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можливості та</w:t>
            </w:r>
            <w:r w:rsidR="00AD7AB9" w:rsidRPr="00A25D6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правила визнання результатів навчання, отриманих у неформальній освіті та   результатів навчання, отриманих в інших закладах освіти, зокрема під час академічної мобільності.</w:t>
            </w:r>
          </w:p>
          <w:p w:rsidR="00AD7AB9" w:rsidRPr="00AD7AB9" w:rsidRDefault="00AD7AB9" w:rsidP="00A25D64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Дотримуватися принципів академічної доброчесності при оцінюванні результатів навчання.</w:t>
            </w:r>
          </w:p>
        </w:tc>
      </w:tr>
      <w:tr w:rsidR="005641A2" w:rsidRPr="00EC1371" w:rsidTr="00EC1371">
        <w:tc>
          <w:tcPr>
            <w:tcW w:w="2972" w:type="dxa"/>
          </w:tcPr>
          <w:p w:rsidR="00B40783" w:rsidRPr="00C21479" w:rsidRDefault="005F043E" w:rsidP="006440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F043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Критерій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4</w:t>
            </w:r>
            <w:r w:rsidRPr="00B407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834B1C" w:rsidRPr="00C21479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Навчання та викладання за освітньою програмою.</w:t>
            </w:r>
          </w:p>
          <w:p w:rsidR="005641A2" w:rsidRPr="005F043E" w:rsidRDefault="00B40783" w:rsidP="00644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07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Оптимізувати розміщення матеріалів НМЗ ОК на сторінці кафедри. Активізувати залучення здобувачів до проведення </w:t>
            </w:r>
            <w:r w:rsidRPr="00B407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наукових досліджень, у </w:t>
            </w:r>
            <w:proofErr w:type="spellStart"/>
            <w:r w:rsidRPr="00B407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т.ч</w:t>
            </w:r>
            <w:proofErr w:type="spellEnd"/>
            <w:r w:rsidRPr="00B407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у міжнародних конференціях</w:t>
            </w:r>
          </w:p>
        </w:tc>
        <w:tc>
          <w:tcPr>
            <w:tcW w:w="6373" w:type="dxa"/>
          </w:tcPr>
          <w:p w:rsidR="00ED2A43" w:rsidRDefault="00644091" w:rsidP="00ED2A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Активізувати наукову роботу здобувачів, заохочувати їхню участь у роботі наукового гуртка кафедри,  науково-практичних конференцій,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Шумпетерівського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форуму.</w:t>
            </w:r>
          </w:p>
          <w:p w:rsidR="00ED2A43" w:rsidRPr="00ED2A43" w:rsidRDefault="00ED2A43" w:rsidP="00ED2A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F043E" w:rsidTr="00EC1371">
        <w:tc>
          <w:tcPr>
            <w:tcW w:w="2972" w:type="dxa"/>
          </w:tcPr>
          <w:p w:rsidR="00B40783" w:rsidRDefault="005F043E" w:rsidP="005F043E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60004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>Критерій</w:t>
            </w:r>
            <w:r w:rsidR="00B4078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5. </w:t>
            </w:r>
            <w:r w:rsidR="00CF019D" w:rsidRPr="00C21479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Контрольні заходи, оцінювання здобувачів вищої освіти та академічна доброчесність</w:t>
            </w:r>
            <w:r w:rsidR="00CF019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  <w:p w:rsidR="005F043E" w:rsidRPr="00B40783" w:rsidRDefault="00B40783" w:rsidP="005F043E">
            <w:r w:rsidRPr="00B407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Надати системного характеру заходам популяризації академічної доброчесності</w:t>
            </w:r>
          </w:p>
        </w:tc>
        <w:tc>
          <w:tcPr>
            <w:tcW w:w="6373" w:type="dxa"/>
          </w:tcPr>
          <w:p w:rsidR="005F043E" w:rsidRPr="00364C6D" w:rsidRDefault="00364C6D" w:rsidP="00364C6D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4C6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</w:t>
            </w:r>
            <w:proofErr w:type="spellStart"/>
            <w:r w:rsidRPr="00364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ітко</w:t>
            </w:r>
            <w:proofErr w:type="spellEnd"/>
            <w:r w:rsidRPr="00364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4C6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дотримуватися</w:t>
            </w:r>
            <w:r w:rsidRPr="00364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політик</w:t>
            </w:r>
            <w:proofErr w:type="spellEnd"/>
            <w:r w:rsidRPr="00364C6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</w:t>
            </w:r>
            <w:r w:rsidRPr="00364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стандарт</w:t>
            </w:r>
            <w:proofErr w:type="spellStart"/>
            <w:r w:rsidRPr="00364C6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ів</w:t>
            </w:r>
            <w:proofErr w:type="spellEnd"/>
            <w:r w:rsidRPr="00364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процедур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визначених положеннями ЧНУ</w:t>
            </w:r>
            <w:r w:rsidRPr="00364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4C6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щодо </w:t>
            </w:r>
            <w:proofErr w:type="spellStart"/>
            <w:r w:rsidRPr="00364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академічної</w:t>
            </w:r>
            <w:proofErr w:type="spellEnd"/>
            <w:r w:rsidRPr="00364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доброчесності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  кураторам систематично проводити заходи популяризації принципів академічної доброчесності; приділити додаткову увагу дотриманню цих принципів при виконанні письмових робіт.</w:t>
            </w:r>
          </w:p>
        </w:tc>
      </w:tr>
      <w:tr w:rsidR="005F043E" w:rsidRPr="00EC1371" w:rsidTr="00EC1371">
        <w:tc>
          <w:tcPr>
            <w:tcW w:w="2972" w:type="dxa"/>
          </w:tcPr>
          <w:p w:rsidR="005F043E" w:rsidRPr="00C21479" w:rsidRDefault="005F043E" w:rsidP="005F043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60004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Критерій</w:t>
            </w:r>
            <w:r w:rsidR="00B4078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6.</w:t>
            </w:r>
            <w:r w:rsidR="00CF019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="00CF019D" w:rsidRPr="00C21479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Людські ресурси.</w:t>
            </w:r>
          </w:p>
          <w:p w:rsidR="00B40783" w:rsidRPr="00B40783" w:rsidRDefault="00B40783" w:rsidP="005F043E">
            <w:r w:rsidRPr="00C214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тично залучати спеціалістів-практиків до освітнього процесу та процедур підвищення його якості</w:t>
            </w:r>
          </w:p>
        </w:tc>
        <w:tc>
          <w:tcPr>
            <w:tcW w:w="6373" w:type="dxa"/>
          </w:tcPr>
          <w:p w:rsidR="00265619" w:rsidRPr="00324B0E" w:rsidRDefault="004F08B5" w:rsidP="006440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Продовжити практику викладання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професійно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орієнтованих дисциплін викладачами, які мають крім наукового ступеня професійну кваліфікацію менеджера; запрошувати до викладання цих дисциплін представників бізнесу та роботодавців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стейкхолдерів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ОПП. Стимулювати розвиток професійної майстерності викладачів (міжнародне стажування, заходи неформальної освіти, підвищення кваліфікації)  </w:t>
            </w:r>
          </w:p>
        </w:tc>
      </w:tr>
      <w:tr w:rsidR="00CF019D" w:rsidRPr="00EC1371" w:rsidTr="00EC1371">
        <w:tc>
          <w:tcPr>
            <w:tcW w:w="2972" w:type="dxa"/>
          </w:tcPr>
          <w:p w:rsidR="00CF019D" w:rsidRPr="00600048" w:rsidRDefault="00CF019D" w:rsidP="005F043E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Критерій 7. </w:t>
            </w:r>
            <w:r w:rsidRPr="00C21479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Освітнє середовище та матеріальні ресурси</w:t>
            </w:r>
          </w:p>
        </w:tc>
        <w:tc>
          <w:tcPr>
            <w:tcW w:w="6373" w:type="dxa"/>
          </w:tcPr>
          <w:p w:rsidR="00CF019D" w:rsidRPr="006837C9" w:rsidRDefault="00644091" w:rsidP="006440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Розробити  підручники та навчальні посібники з обов’язкових дисциплін,  систематично з</w:t>
            </w:r>
            <w:r w:rsidR="006837C9" w:rsidRPr="006837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абезпечувати всебічну освітню, організаційну, інформаційну, консультативну та соціальну підтримку здобувачів вищої освіти протягом навчання.</w:t>
            </w:r>
          </w:p>
        </w:tc>
      </w:tr>
      <w:tr w:rsidR="005F043E" w:rsidRPr="00EC1371" w:rsidTr="00EC1371">
        <w:tc>
          <w:tcPr>
            <w:tcW w:w="2972" w:type="dxa"/>
          </w:tcPr>
          <w:p w:rsidR="005F043E" w:rsidRPr="00C21479" w:rsidRDefault="005F043E" w:rsidP="00B4078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60004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Критерій</w:t>
            </w:r>
            <w:r w:rsidR="00B4078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8. </w:t>
            </w:r>
            <w:r w:rsidR="00CF019D" w:rsidRPr="00C21479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Внутрішнє забезпечення якості освітньої програми.</w:t>
            </w:r>
          </w:p>
          <w:p w:rsidR="00B40783" w:rsidRPr="00B40783" w:rsidRDefault="00B40783" w:rsidP="00B407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07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Налагодити системність у відносинах з випускниками ОПП та розміщувати відповідну інформацію на сторінці кафедри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Посилити вплив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стейкхолдерів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оновлення ОПП. Активізувати співпрацю у цьому напрямку з роботодавцями, випускниками, представниками академічної спільноти</w:t>
            </w:r>
          </w:p>
        </w:tc>
        <w:tc>
          <w:tcPr>
            <w:tcW w:w="6373" w:type="dxa"/>
          </w:tcPr>
          <w:p w:rsidR="005F043E" w:rsidRPr="005641A2" w:rsidRDefault="00644091" w:rsidP="009A4A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Провести анкетування</w:t>
            </w:r>
            <w:r w:rsidR="009A4A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A4A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стейкхолдерів</w:t>
            </w:r>
            <w:proofErr w:type="spellEnd"/>
            <w:r w:rsidR="009A4A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(здобувачів, випускників, роботодавців, представників академічної спільноти) щодо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якості та можливостей </w:t>
            </w:r>
            <w:r w:rsidR="009A4A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удосконалення ОПП. Проводити періодичні зустрічі здобувачів та роботодавців з метою обговорення якості ОПП; запрошувати </w:t>
            </w:r>
            <w:proofErr w:type="spellStart"/>
            <w:r w:rsidR="009A4A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стейкхолдерів</w:t>
            </w:r>
            <w:proofErr w:type="spellEnd"/>
            <w:r w:rsidR="009A4A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викладання, керівництва практикою та виконанням кваліфікаційних робіт. </w:t>
            </w:r>
          </w:p>
        </w:tc>
      </w:tr>
      <w:tr w:rsidR="005F043E" w:rsidTr="00EC1371">
        <w:tc>
          <w:tcPr>
            <w:tcW w:w="2972" w:type="dxa"/>
          </w:tcPr>
          <w:p w:rsidR="005F043E" w:rsidRPr="00C21479" w:rsidRDefault="005F043E" w:rsidP="005F043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60004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Критерій</w:t>
            </w:r>
            <w:r w:rsidR="00B4078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9.</w:t>
            </w:r>
            <w:r w:rsidR="00CF019D" w:rsidRPr="00C21479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Прозорість та публічність.</w:t>
            </w:r>
          </w:p>
          <w:p w:rsidR="00B40783" w:rsidRPr="00B40783" w:rsidRDefault="00B40783" w:rsidP="00B40783"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Дотримуватися часових термінів оприлюднення ОПП на сайті ЗВО</w:t>
            </w:r>
          </w:p>
        </w:tc>
        <w:tc>
          <w:tcPr>
            <w:tcW w:w="6373" w:type="dxa"/>
          </w:tcPr>
          <w:p w:rsidR="005F043E" w:rsidRPr="005641A2" w:rsidRDefault="006026FD" w:rsidP="006026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Систематично поновлювати інформацію, висвітлювати заходи за усіма напрямами роботи кафедри. </w:t>
            </w:r>
          </w:p>
        </w:tc>
      </w:tr>
    </w:tbl>
    <w:p w:rsidR="005641A2" w:rsidRPr="005641A2" w:rsidRDefault="005641A2" w:rsidP="005641A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641A2" w:rsidRPr="005641A2" w:rsidRDefault="005641A2" w:rsidP="005641A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641A2" w:rsidRPr="00564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70D48"/>
    <w:multiLevelType w:val="hybridMultilevel"/>
    <w:tmpl w:val="898437A4"/>
    <w:lvl w:ilvl="0" w:tplc="0422000F">
      <w:start w:val="1"/>
      <w:numFmt w:val="decimal"/>
      <w:lvlText w:val="%1."/>
      <w:lvlJc w:val="left"/>
      <w:pPr>
        <w:ind w:left="1037" w:hanging="360"/>
      </w:pPr>
    </w:lvl>
    <w:lvl w:ilvl="1" w:tplc="04220019" w:tentative="1">
      <w:start w:val="1"/>
      <w:numFmt w:val="lowerLetter"/>
      <w:lvlText w:val="%2."/>
      <w:lvlJc w:val="left"/>
      <w:pPr>
        <w:ind w:left="1757" w:hanging="360"/>
      </w:pPr>
    </w:lvl>
    <w:lvl w:ilvl="2" w:tplc="0422001B" w:tentative="1">
      <w:start w:val="1"/>
      <w:numFmt w:val="lowerRoman"/>
      <w:lvlText w:val="%3."/>
      <w:lvlJc w:val="right"/>
      <w:pPr>
        <w:ind w:left="2477" w:hanging="180"/>
      </w:pPr>
    </w:lvl>
    <w:lvl w:ilvl="3" w:tplc="0422000F" w:tentative="1">
      <w:start w:val="1"/>
      <w:numFmt w:val="decimal"/>
      <w:lvlText w:val="%4."/>
      <w:lvlJc w:val="left"/>
      <w:pPr>
        <w:ind w:left="3197" w:hanging="360"/>
      </w:pPr>
    </w:lvl>
    <w:lvl w:ilvl="4" w:tplc="04220019" w:tentative="1">
      <w:start w:val="1"/>
      <w:numFmt w:val="lowerLetter"/>
      <w:lvlText w:val="%5."/>
      <w:lvlJc w:val="left"/>
      <w:pPr>
        <w:ind w:left="3917" w:hanging="360"/>
      </w:pPr>
    </w:lvl>
    <w:lvl w:ilvl="5" w:tplc="0422001B" w:tentative="1">
      <w:start w:val="1"/>
      <w:numFmt w:val="lowerRoman"/>
      <w:lvlText w:val="%6."/>
      <w:lvlJc w:val="right"/>
      <w:pPr>
        <w:ind w:left="4637" w:hanging="180"/>
      </w:pPr>
    </w:lvl>
    <w:lvl w:ilvl="6" w:tplc="0422000F" w:tentative="1">
      <w:start w:val="1"/>
      <w:numFmt w:val="decimal"/>
      <w:lvlText w:val="%7."/>
      <w:lvlJc w:val="left"/>
      <w:pPr>
        <w:ind w:left="5357" w:hanging="360"/>
      </w:pPr>
    </w:lvl>
    <w:lvl w:ilvl="7" w:tplc="04220019" w:tentative="1">
      <w:start w:val="1"/>
      <w:numFmt w:val="lowerLetter"/>
      <w:lvlText w:val="%8."/>
      <w:lvlJc w:val="left"/>
      <w:pPr>
        <w:ind w:left="6077" w:hanging="360"/>
      </w:pPr>
    </w:lvl>
    <w:lvl w:ilvl="8" w:tplc="0422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">
    <w:nsid w:val="236B021D"/>
    <w:multiLevelType w:val="hybridMultilevel"/>
    <w:tmpl w:val="6532C2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2675A7"/>
    <w:multiLevelType w:val="hybridMultilevel"/>
    <w:tmpl w:val="B0DC63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816"/>
    <w:rsid w:val="00265619"/>
    <w:rsid w:val="00324B0E"/>
    <w:rsid w:val="00343611"/>
    <w:rsid w:val="00364C6D"/>
    <w:rsid w:val="004F08B5"/>
    <w:rsid w:val="005641A2"/>
    <w:rsid w:val="005F043E"/>
    <w:rsid w:val="006026FD"/>
    <w:rsid w:val="00644091"/>
    <w:rsid w:val="006837C9"/>
    <w:rsid w:val="006B68F9"/>
    <w:rsid w:val="00721B79"/>
    <w:rsid w:val="0073119C"/>
    <w:rsid w:val="00834B1C"/>
    <w:rsid w:val="008D0828"/>
    <w:rsid w:val="009A4A58"/>
    <w:rsid w:val="00A25D64"/>
    <w:rsid w:val="00A77C99"/>
    <w:rsid w:val="00A860F0"/>
    <w:rsid w:val="00AD7AB9"/>
    <w:rsid w:val="00B40783"/>
    <w:rsid w:val="00BD4C54"/>
    <w:rsid w:val="00BE4168"/>
    <w:rsid w:val="00C21479"/>
    <w:rsid w:val="00CC0CC6"/>
    <w:rsid w:val="00CD5B3C"/>
    <w:rsid w:val="00CF019D"/>
    <w:rsid w:val="00EC1371"/>
    <w:rsid w:val="00ED2A43"/>
    <w:rsid w:val="00F3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4B37AD-DE19-44ED-91B0-ABB48CA6B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41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137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44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40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2969</Words>
  <Characters>1693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2025-08-27T08:07:00Z</cp:lastPrinted>
  <dcterms:created xsi:type="dcterms:W3CDTF">2025-08-27T08:08:00Z</dcterms:created>
  <dcterms:modified xsi:type="dcterms:W3CDTF">2025-08-27T08:08:00Z</dcterms:modified>
</cp:coreProperties>
</file>