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fnpunp1e2rf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367689" cy="1165093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7689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color w:val="632423"/>
          <w:sz w:val="24"/>
          <w:szCs w:val="24"/>
        </w:rPr>
      </w:pPr>
      <w:r w:rsidDel="00000000" w:rsidR="00000000" w:rsidRPr="00000000">
        <w:rPr>
          <w:b w:val="1"/>
          <w:bCs w:val="1"/>
          <w:color w:val="632423"/>
          <w:sz w:val="24"/>
          <w:szCs w:val="24"/>
          <w:rtl w:val="0"/>
        </w:rPr>
        <w:t xml:space="preserve">«КАЗНАЧЕЙСЬКА СПРАВА»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Компонент освітньої програми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– 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24"/>
          <w:szCs w:val="24"/>
          <w:u w:val="single"/>
          <w:rtl w:val="0"/>
        </w:rPr>
        <w:t xml:space="preserve">вибіркова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(3</w:t>
      </w: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 кредити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5">
      <w:pPr>
        <w:widowControl w:val="1"/>
        <w:ind w:right="517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0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7"/>
        <w:gridCol w:w="6080"/>
        <w:tblGridChange w:id="0">
          <w:tblGrid>
            <w:gridCol w:w="3727"/>
            <w:gridCol w:w="60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Фінанси, банківська справа та страхування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072 Фінанси, банківська справа, страхування та фондовий ринок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 Управління і адміністрування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Профайл викладача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Сокровольська Наталія Ярославівна – кандидат економічних наук, доцент кафедри фінансів і кредиту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https://finance.chnu.edu.ua/nasha-kafedra/kolektyv/sokrovolska-nataliia-yaroslavivna/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+380505002605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1"/>
              <w:spacing w:line="360" w:lineRule="auto"/>
              <w:rPr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n.sokrovolska@chnu.edu.ua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https://moodle.chnu.edu.ua/course/view.php?id=4969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Вівторок з 11 до 12.00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ind w:left="0" w:right="517" w:firstLine="0"/>
        <w:rPr>
          <w:color w:val="632423"/>
        </w:rPr>
      </w:pPr>
      <w:r w:rsidDel="00000000" w:rsidR="00000000" w:rsidRPr="00000000">
        <w:rPr>
          <w:color w:val="632423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D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Освітня компонента «Казначейська справа» належить до вибіркових навчальних дисциплін підготовки здобувачів вищої освіти за освітньо-професійною програмою «Фінанси, банківська справа та страхування» спеціальності 072 «Фінанси, банківська справа та страхування». </w:t>
      </w:r>
    </w:p>
    <w:p w:rsidR="00000000" w:rsidDel="00000000" w:rsidP="00000000" w:rsidRDefault="00000000" w:rsidRPr="00000000" w14:paraId="0000001E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Навчальна дисципліна</w:t>
      </w:r>
      <w:r w:rsidDel="00000000" w:rsidR="00000000" w:rsidRPr="00000000">
        <w:rPr>
          <w:sz w:val="24"/>
          <w:szCs w:val="24"/>
          <w:rtl w:val="0"/>
        </w:rPr>
        <w:t xml:space="preserve"> «Казначейська справа» спрямована на формування у студентів цілісної системи знань про суть казначейського обслуговування касового виконання бюджетів, опанування теоретичних та практичних навиків самостійного вирішення завдань, пов'язаних з касовим виконанням державного та місцевих бюджетів в умовах функціонування казначейської системи.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Мета навчальної дисципліни</w:t>
      </w:r>
      <w:r w:rsidDel="00000000" w:rsidR="00000000" w:rsidRPr="00000000">
        <w:rPr>
          <w:sz w:val="24"/>
          <w:szCs w:val="24"/>
          <w:rtl w:val="0"/>
        </w:rPr>
        <w:t xml:space="preserve">: ознайомлення студентів з особливостями теорії та практики діяльності органів Державної казначейської служби на всіх стадіях бюджетного процесу, формування у студентів цілісної системи знань про касове виконання бюджетів, опанування теоретичних та практичних навиків самостійного вирішення завдань, пов’язаних з касовим виконанням державного та місцевих бюджетів в умовах функціонування казначейської системи. </w:t>
      </w:r>
    </w:p>
    <w:p w:rsidR="00000000" w:rsidDel="00000000" w:rsidP="00000000" w:rsidRDefault="00000000" w:rsidRPr="00000000" w14:paraId="00000020">
      <w:pPr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Навчальна дисципліна «Казначейська справа» відповідно до структурно-логічної схеми освітньо-професійної програми слухається здобувачами вищої освіти в сьомому семестрі четвертого року навчання та базується на основі знань, отриманих здобувачами вищої освіти, з таких дисциплін, як «Гроші та кредит», «Фінанси», «Податкова система», «Бюджетна система». Вивчення дисципліни «Казначейська справа» є підґрунтям для проходження виробничої практики і підготовки кваліфікаційної роботи, а також для засвоєння спеціалізованих дисциплін з фінансів.</w:t>
      </w:r>
    </w:p>
    <w:p w:rsidR="00000000" w:rsidDel="00000000" w:rsidP="00000000" w:rsidRDefault="00000000" w:rsidRPr="00000000" w14:paraId="00000021">
      <w:pPr>
        <w:ind w:firstLine="720"/>
        <w:jc w:val="center"/>
        <w:rPr>
          <w:b w:val="1"/>
          <w:bCs w:val="1"/>
          <w:smallCaps w:val="1"/>
          <w:color w:val="632423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632423"/>
          <w:sz w:val="24"/>
          <w:szCs w:val="24"/>
          <w:rtl w:val="0"/>
        </w:rPr>
        <w:t xml:space="preserve">НАВЧАЛЬНИЙ КОНТЕНТ ОСВІТНЬОЇ КОМПОНЕНТИ</w:t>
      </w:r>
    </w:p>
    <w:tbl>
      <w:tblPr>
        <w:tblStyle w:val="Table2"/>
        <w:tblW w:w="95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01"/>
        <w:gridCol w:w="8473"/>
        <w:tblGridChange w:id="0">
          <w:tblGrid>
            <w:gridCol w:w="1101"/>
            <w:gridCol w:w="847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МОДУЛЬ 1 ОСНОВИ КАЗНАЧЕЙСЬКОЇ СПРАВИ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Становлення та розвиток Державної казначейської служби України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Державна казначейська служба України як учасник бюджетного процесу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Інформаційно-технічне забезпечення казначейської системи виконання бюджету</w:t>
            </w:r>
          </w:p>
        </w:tc>
      </w:tr>
      <w:tr>
        <w:trPr>
          <w:cantSplit w:val="0"/>
          <w:trHeight w:val="21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Платіжна система виконання бюджетів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МОДУЛЬ 2. </w:t>
            </w: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КАСОВЕ ВИКОНАННЯ БЮДЖЕТУ ТА КОНТРОЛЬ У СИСТЕМІ КАЗНАЧЕЙСТВА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Казначейське обслуговування державного та місцевих  бюджетів за доходами та видатками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Облік і звітність в системі Державної казначейської служби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Казначейський контроль виконання бюджетів. Управління державним боргом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3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Зарубіжний досвід казначейської справи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87ywjgfey56m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ФОРМИ, МЕТОДИ ТА ОСВІТНІ ТЕХНОЛОГІЇ НАВЧАННЯ</w:t>
      </w:r>
    </w:p>
    <w:p w:rsidR="00000000" w:rsidDel="00000000" w:rsidP="00000000" w:rsidRDefault="00000000" w:rsidRPr="00000000" w14:paraId="00000037">
      <w:pPr>
        <w:ind w:right="6" w:firstLine="720"/>
        <w:jc w:val="both"/>
        <w:rPr>
          <w:sz w:val="24"/>
          <w:szCs w:val="24"/>
        </w:rPr>
      </w:pPr>
      <w:bookmarkStart w:colFirst="0" w:colLast="0" w:name="_heading=h.butql65g8sm9" w:id="2"/>
      <w:bookmarkEnd w:id="2"/>
      <w:r w:rsidDel="00000000" w:rsidR="00000000" w:rsidRPr="00000000">
        <w:rPr>
          <w:sz w:val="24"/>
          <w:szCs w:val="24"/>
          <w:rtl w:val="0"/>
        </w:rPr>
        <w:t xml:space="preserve">У процесі вивчення навчальної дисципліни використовуються традиційні та інноваційні освітні технології (інформаційно-комунікаційні, технології студентоцентрованого навчання; проєктна діяльність), традиційні та інтерактивні форми і методи навчання (зокрема, лекція-візуалізація, практичне заняття, ситуаційні завдання, кейси, самостійно-дослідницька робота тощо).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усне та письмове опитування, тестування, практичні завдання, модульна робота, проект, презентація тощо.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Підсумковий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залік.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" w:firstLine="709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https://www.chnu.edu.ua/media/bkyl5klw/etychnyi-kodeks-chernivetskoho-natsionalnoho-universytetu.pdf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4">
      <w:pPr>
        <w:widowControl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Аналітика : Міжнародний центр перспективних досліджень: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http://icps.com.ua/</w:t>
      </w:r>
    </w:p>
    <w:p w:rsidR="00000000" w:rsidDel="00000000" w:rsidP="00000000" w:rsidRDefault="00000000" w:rsidRPr="00000000" w14:paraId="00000047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Дані та аналітика : Міністерство фінансів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https://mof.gov.ua/uk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Законодавство України : Верховна рада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</w:t>
      </w:r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https://zakon.rada.gov.ua/laws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Звітність : Державна казначейська служба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</w:t>
      </w:r>
      <w:hyperlink r:id="rId12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https://www.treasury.gov.ua/ua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Статистика : Національний банк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https://bank.gov.ua/</w:t>
      </w:r>
    </w:p>
    <w:p w:rsidR="00000000" w:rsidDel="00000000" w:rsidP="00000000" w:rsidRDefault="00000000" w:rsidRPr="00000000" w14:paraId="0000004B">
      <w:pPr>
        <w:widowControl w:val="1"/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Статистична інформація : Державна служба статистики України :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веб-сайт</w:t>
      </w:r>
      <w:r w:rsidDel="00000000" w:rsidR="00000000" w:rsidRPr="00000000">
        <w:rPr>
          <w:sz w:val="24"/>
          <w:szCs w:val="24"/>
          <w:rtl w:val="0"/>
        </w:rPr>
        <w:t xml:space="preserve">. URL: http://www.ukrstat.gov.ua/</w:t>
      </w:r>
    </w:p>
    <w:p w:rsidR="00000000" w:rsidDel="00000000" w:rsidP="00000000" w:rsidRDefault="00000000" w:rsidRPr="00000000" w14:paraId="0000004C">
      <w:pPr>
        <w:ind w:left="28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142"/>
        </w:tabs>
        <w:ind w:firstLine="709"/>
        <w:jc w:val="both"/>
        <w:rPr>
          <w:b w:val="1"/>
          <w:bCs w:val="1"/>
          <w:i w:val="1"/>
          <w:iCs w:val="1"/>
          <w:color w:val="63242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«Казначейська справа»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3" w:firstLine="0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632423"/>
          <w:sz w:val="24"/>
          <w:szCs w:val="24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3" w:firstLine="0"/>
        <w:jc w:val="center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i w:val="1"/>
            <w:iCs w:val="1"/>
            <w:color w:val="1155cc"/>
            <w:sz w:val="24"/>
            <w:szCs w:val="24"/>
            <w:highlight w:val="yellow"/>
            <w:u w:val="single"/>
            <w:rtl w:val="0"/>
          </w:rPr>
          <w:t xml:space="preserve">https://finance.chnu.edu.ua/diialnist/osvitnia-diialnist/bakalavr/navchalni-dystsypliny/robochi-prohramy/</w:t>
        </w:r>
      </w:hyperlink>
      <w:r w:rsidDel="00000000" w:rsidR="00000000" w:rsidRPr="00000000">
        <w:rPr>
          <w:i w:val="1"/>
          <w:iCs w:val="1"/>
          <w:color w:val="0070c0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142"/>
        </w:tabs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851" w:top="851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21" w:right="516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859" w:hanging="360"/>
      <w:jc w:val="both"/>
    </w:pPr>
  </w:style>
  <w:style w:type="paragraph" w:styleId="TableParagraph" w:customStyle="1">
    <w:name w:val="Table Paragraph"/>
    <w:basedOn w:val="a"/>
    <w:uiPriority w:val="1"/>
    <w:qFormat w:val="1"/>
    <w:pPr>
      <w:ind w:left="105"/>
    </w:pPr>
  </w:style>
  <w:style w:type="character" w:styleId="a5">
    <w:name w:val="Hyperlink"/>
    <w:basedOn w:val="a0"/>
    <w:unhideWhenUsed w:val="1"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 w:val="1"/>
    <w:unhideWhenUsed w:val="1"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8">
    <w:name w:val="Balloon Text"/>
    <w:basedOn w:val="a"/>
    <w:link w:val="a9"/>
    <w:uiPriority w:val="99"/>
    <w:semiHidden w:val="1"/>
    <w:unhideWhenUsed w:val="1"/>
    <w:rsid w:val="00F46C20"/>
    <w:rPr>
      <w:rFonts w:ascii="Tahoma" w:cs="Tahoma" w:hAnsi="Tahoma"/>
      <w:sz w:val="16"/>
      <w:szCs w:val="16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F46C20"/>
    <w:rPr>
      <w:rFonts w:ascii="Tahoma" w:cs="Tahoma" w:eastAsia="Times New Roman" w:hAnsi="Tahoma"/>
      <w:sz w:val="16"/>
      <w:szCs w:val="16"/>
      <w:lang w:val="uk-UA"/>
    </w:rPr>
  </w:style>
  <w:style w:type="paragraph" w:styleId="Default" w:customStyle="1">
    <w:name w:val="Default"/>
    <w:rsid w:val="007412CF"/>
    <w:pPr>
      <w:widowControl w:val="1"/>
      <w:adjustRightInd w:val="0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character" w:styleId="iudoqc" w:customStyle="1">
    <w:name w:val="iudoqc"/>
    <w:basedOn w:val="a0"/>
    <w:rsid w:val="00242E85"/>
  </w:style>
  <w:style w:type="character" w:styleId="10" w:customStyle="1">
    <w:name w:val="Неразрешенное упоминание1"/>
    <w:basedOn w:val="a0"/>
    <w:uiPriority w:val="99"/>
    <w:semiHidden w:val="1"/>
    <w:unhideWhenUsed w:val="1"/>
    <w:rsid w:val="003B13FB"/>
    <w:rPr>
      <w:color w:val="605e5c"/>
      <w:shd w:color="auto" w:fill="e1dfdd" w:val="clear"/>
    </w:rPr>
  </w:style>
  <w:style w:type="paragraph" w:styleId="aa">
    <w:name w:val="Normal (Web)"/>
    <w:aliases w:val="Обычный (веб)1"/>
    <w:basedOn w:val="a"/>
    <w:uiPriority w:val="99"/>
    <w:unhideWhenUsed w:val="1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uk-UA"/>
    </w:rPr>
  </w:style>
  <w:style w:type="paragraph" w:styleId="docdata" w:customStyle="1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 w:val="1"/>
      <w:autoSpaceDE w:val="1"/>
      <w:autoSpaceDN w:val="1"/>
      <w:spacing w:after="100" w:afterAutospacing="1" w:before="100" w:beforeAutospacing="1"/>
    </w:pPr>
    <w:rPr>
      <w:sz w:val="24"/>
      <w:szCs w:val="24"/>
      <w:lang w:eastAsia="ru-RU" w:val="ru-RU"/>
    </w:rPr>
  </w:style>
  <w:style w:type="character" w:styleId="11" w:customStyle="1">
    <w:name w:val="Незакрита згадка1"/>
    <w:basedOn w:val="a0"/>
    <w:uiPriority w:val="99"/>
    <w:semiHidden w:val="1"/>
    <w:unhideWhenUsed w:val="1"/>
    <w:rsid w:val="00371D03"/>
    <w:rPr>
      <w:color w:val="605e5c"/>
      <w:shd w:color="auto" w:fill="e1dfdd" w:val="clear"/>
    </w:rPr>
  </w:style>
  <w:style w:type="character" w:styleId="ab">
    <w:name w:val="Emphasis"/>
    <w:basedOn w:val="a0"/>
    <w:uiPriority w:val="20"/>
    <w:qFormat w:val="1"/>
    <w:rsid w:val="005451FE"/>
    <w:rPr>
      <w:i w:val="1"/>
      <w:iCs w:val="1"/>
    </w:rPr>
  </w:style>
  <w:style w:type="paragraph" w:styleId="ac">
    <w:name w:val="Body Text Indent"/>
    <w:basedOn w:val="a"/>
    <w:link w:val="ad"/>
    <w:uiPriority w:val="99"/>
    <w:unhideWhenUsed w:val="1"/>
    <w:rsid w:val="00797036"/>
    <w:pPr>
      <w:widowControl w:val="1"/>
      <w:autoSpaceDE w:val="1"/>
      <w:autoSpaceDN w:val="1"/>
      <w:spacing w:after="120" w:line="259" w:lineRule="auto"/>
      <w:ind w:left="283"/>
    </w:pPr>
    <w:rPr>
      <w:rFonts w:asciiTheme="minorHAnsi" w:cstheme="minorBidi" w:eastAsiaTheme="minorHAnsi" w:hAnsiTheme="minorHAnsi"/>
    </w:rPr>
  </w:style>
  <w:style w:type="character" w:styleId="ad" w:customStyle="1">
    <w:name w:val="Основной текст с отступом Знак"/>
    <w:basedOn w:val="a0"/>
    <w:link w:val="ac"/>
    <w:uiPriority w:val="99"/>
    <w:rsid w:val="00797036"/>
    <w:rPr>
      <w:lang w:val="uk-UA"/>
    </w:rPr>
  </w:style>
  <w:style w:type="character" w:styleId="2" w:customStyle="1">
    <w:name w:val="Неразрешенное упоминание2"/>
    <w:basedOn w:val="a0"/>
    <w:uiPriority w:val="99"/>
    <w:semiHidden w:val="1"/>
    <w:unhideWhenUsed w:val="1"/>
    <w:rsid w:val="00EE5ADE"/>
    <w:rPr>
      <w:color w:val="605e5c"/>
      <w:shd w:color="auto" w:fill="e1dfdd" w:val="clear"/>
    </w:rPr>
  </w:style>
  <w:style w:type="character" w:styleId="ae">
    <w:name w:val="Strong"/>
    <w:basedOn w:val="a0"/>
    <w:uiPriority w:val="22"/>
    <w:qFormat w:val="1"/>
    <w:rsid w:val="003D71C2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zakon.rada.gov.ua/laws" TargetMode="External"/><Relationship Id="rId10" Type="http://schemas.openxmlformats.org/officeDocument/2006/relationships/hyperlink" Target="https://mof.gov.ua/uk" TargetMode="External"/><Relationship Id="rId13" Type="http://schemas.openxmlformats.org/officeDocument/2006/relationships/hyperlink" Target="https://finance.chnu.edu.ua/diialnist/osvitnia-diialnist/bakalavr/navchalni-dystsypliny/robochi-prohramy/" TargetMode="External"/><Relationship Id="rId12" Type="http://schemas.openxmlformats.org/officeDocument/2006/relationships/hyperlink" Target="https://www.treasury.gov.ua/u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f5eleobm/polozhennya-pro-zapobihannia-plahiatu_2024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www.chnu.edu.ua/media/bkyl5klw/etychnyi-kodeks-chernivetskoho-natsionalnoho-universytetu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CvnfxIiYvxZ9szUtuxTJzu3xQQ==">CgMxLjAyDmguZm5wdW5wMWUycmZzMg5oLjg3eXdqZ2ZleTU2bTIOaC5idXRxbDY1ZzhzbTk4AHIhMUJXYUhnWGxCMkZkU3d5UEFVTnp5YmZTRjJSaHpHVk5x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2025-09-22T14:13:00Z</dcterms:created>
  <dc:creator>Мастер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  <property fmtid="{D5CDD505-2E9C-101B-9397-08002B2CF9AE}" pid="5" name="GrammarlyDocumentId">
    <vt:lpwstr>aefecde4-778b-46a1-b04a-e234d523b3f9</vt:lpwstr>
  </property>
</Properties>
</file>