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СИЛАБУС НАВЧАЛЬНОЇ ДИСЦИПЛІНИ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-610234</wp:posOffset>
            </wp:positionH>
            <wp:positionV relativeFrom="paragraph">
              <wp:posOffset>-186689</wp:posOffset>
            </wp:positionV>
            <wp:extent cx="1166495" cy="116014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1160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«МЕНЕДЖМЕНТ»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Компонента освітньої програми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обов’язкова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(4 кредити)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51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44"/>
        <w:gridCol w:w="6379"/>
        <w:tblGridChange w:id="0">
          <w:tblGrid>
            <w:gridCol w:w="3544"/>
            <w:gridCol w:w="6379"/>
          </w:tblGrid>
        </w:tblGridChange>
      </w:tblGrid>
      <w:tr>
        <w:trPr>
          <w:cantSplit w:val="0"/>
          <w:tblHeader w:val="0"/>
        </w:trPr>
        <w:tc>
          <w:tcPr>
            <w:tcMar>
              <w:top w:w="28.0" w:type="dxa"/>
              <w:bottom w:w="28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Освітньо-професійна програма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bottom w:w="28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Фінанси, банківська справа та страхування</w:t>
            </w:r>
          </w:p>
        </w:tc>
      </w:tr>
      <w:tr>
        <w:trPr>
          <w:cantSplit w:val="0"/>
          <w:tblHeader w:val="0"/>
        </w:trPr>
        <w:tc>
          <w:tcPr>
            <w:tcMar>
              <w:top w:w="28.0" w:type="dxa"/>
              <w:bottom w:w="28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Спеціальність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bottom w:w="28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072 Фінанси, банківська справа, страхування та фондовий ринок</w:t>
            </w:r>
          </w:p>
        </w:tc>
      </w:tr>
      <w:tr>
        <w:trPr>
          <w:cantSplit w:val="0"/>
          <w:tblHeader w:val="0"/>
        </w:trPr>
        <w:tc>
          <w:tcPr>
            <w:tcMar>
              <w:top w:w="28.0" w:type="dxa"/>
              <w:bottom w:w="28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Галузь знань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bottom w:w="28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07 «Управління і адміністрування»</w:t>
            </w:r>
          </w:p>
        </w:tc>
      </w:tr>
      <w:tr>
        <w:trPr>
          <w:cantSplit w:val="0"/>
          <w:tblHeader w:val="0"/>
        </w:trPr>
        <w:tc>
          <w:tcPr>
            <w:tcMar>
              <w:top w:w="28.0" w:type="dxa"/>
              <w:bottom w:w="28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Рівень вищої освіти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bottom w:w="28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перший (бакалаврський)</w:t>
            </w:r>
          </w:p>
        </w:tc>
      </w:tr>
      <w:tr>
        <w:trPr>
          <w:cantSplit w:val="0"/>
          <w:tblHeader w:val="0"/>
        </w:trPr>
        <w:tc>
          <w:tcPr>
            <w:tcMar>
              <w:top w:w="28.0" w:type="dxa"/>
              <w:bottom w:w="2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Мова навчання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bottom w:w="28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українська</w:t>
            </w:r>
          </w:p>
        </w:tc>
      </w:tr>
      <w:tr>
        <w:trPr>
          <w:cantSplit w:val="0"/>
          <w:tblHeader w:val="0"/>
        </w:trPr>
        <w:tc>
          <w:tcPr>
            <w:tcMar>
              <w:top w:w="28.0" w:type="dxa"/>
              <w:bottom w:w="2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Профайл викладача (-ів)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bottom w:w="2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937353975"/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Запухляк Володимир Михайлович − кандидат економічних наук, доцент кафедри економічної теорії, менеджменту і адміністрування</w:t>
                </w:r>
              </w:sdtContent>
            </w:sdt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http://econom.chnu.edu.ua/kafedry-ekonomichnogo-fakultetu/kafedra-menedzhmentu-ekonomichnoyi-teo/kolektyv-kafedry/zapuhlyak-volodymyr-myhajlovych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Підгірна Валентина Никифорівна,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к.е.н., доцент кафедри економічної географії та екологічного менеджменту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https://ecogeo.chnu.edu.ua/spivrobitnyky/profesorsko-vykladatskyi-sklad/pidhirna-valentyna-nykyforivna/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8.0" w:type="dxa"/>
              <w:bottom w:w="2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Контактний тел.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bottom w:w="2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8"/>
                  <w:szCs w:val="28"/>
                  <w:u w:val="none"/>
                  <w:shd w:fill="auto" w:val="clear"/>
                  <w:vertAlign w:val="baseline"/>
                  <w:rtl w:val="0"/>
                </w:rPr>
                <w:t xml:space="preserve">+ 380 372 52 65 5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Mar>
              <w:top w:w="28.0" w:type="dxa"/>
              <w:bottom w:w="28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bottom w:w="2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v.zapukhlyak@chnu.edu.ua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v.n.pidgirna@chnu.edu.ua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8.0" w:type="dxa"/>
              <w:bottom w:w="2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Сторінка курсу в Moodle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bottom w:w="2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https://moodle.chnu.edu.ua/course/view.php?id=5091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https://moodle.chnu.edu.ua/course/view.php?id=2230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28.0" w:type="dxa"/>
              <w:bottom w:w="2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Консультації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bottom w:w="2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Вівторок  з 12:00 до 14:00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АНОТАЦІЯ НАВЧАЛЬНОЇ ДИСЦИПЛІНИ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Навчальна дисципліна «Менеджмент» є обов’язковим освітнім компонентом освітньо-професійної програми «Фінанси, банківська справа та страхування» спеціальності 072 «Фінанси, банківська справа, страхування та фондовий ринок». Засвоївши зміст цієї дисципліни, здобувачі освіти отримають базові знання з теорії та практики управління організаціями, набудуть фахових компетентностей, необхідних для розв’язання спеціалізованих завдань і практичних проблем у подальшій професійній діяльності. Освітній компонент «Менеджмент» ґрунтується на знаннях, здобутих під час опанування таких дисциплін, як «Економічна теорія», «Вступ у спеціальність», «Мікроекономіка», «Філософія» та інших, і водночас слугує базою для подальшого вивчення дисциплін «Міжнародна економіка», «Фінанси домогосподарств», «Фінанси підприємств», «Маркетинг», «Навчальна практика» та інших компонент управлінського циклу.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Метою навчальної дисципліни є формування в здобувачів освіти сучасного управлінського мислення та розуміння принципів, методів, чинників і механізмів ефективного системного управління сучасними організаціями з урахуванням балансу економічних і соціальних інтересів, а також індивідуальних і колективних потреб.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Освітній компонент «Менеджмент» ґрунтується на знаннях, здобутих під час опанування таких дисциплін, як «Економічна теорія», «Вступ у спеціальність», «Мікроекономіка», «Філософія» та інших, і водночас слугує базою для подальшого вивчення дисциплін «Міжнародна економіка», «Фінанси домогосподарств», «Фінанси підприємств», «Маркетинг», «Навчальна практика» та інших компонент управлінського циклу.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0"/>
        </w:tabs>
        <w:spacing w:after="0" w:before="0" w:line="237" w:lineRule="auto"/>
        <w:ind w:left="1219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0"/>
        </w:tabs>
        <w:spacing w:after="0" w:before="6" w:line="237" w:lineRule="auto"/>
        <w:ind w:left="0" w:right="517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НАВЧАЛЬНИЙ КОНТЕНТ ОСВІТНЬОЇ КОМПОНЕНТИ</w:t>
      </w:r>
      <w:r w:rsidDel="00000000" w:rsidR="00000000" w:rsidRPr="00000000">
        <w:rPr>
          <w:rtl w:val="0"/>
        </w:rPr>
      </w:r>
    </w:p>
    <w:tbl>
      <w:tblPr>
        <w:tblStyle w:val="Table2"/>
        <w:tblW w:w="1003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2"/>
        <w:gridCol w:w="8789"/>
        <w:tblGridChange w:id="0">
          <w:tblGrid>
            <w:gridCol w:w="1242"/>
            <w:gridCol w:w="8789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МОДУЛЬ 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Теоретичні засади менеджменту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Сутність менеджменту як науки і практики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Функції, принципи та методи менеджменту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Організація як об’єкт менеджменту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Людина в організації: поведінка, влада, лідерство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Управлінські рішення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Умови, норми і обмеження функціонування організації. Критерії ефективності менеджменту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МОДУЛЬ 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Технології управлінської діяльності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Планування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Організування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Мотивація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Контроль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Комунікації у менеджменті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Управління конфліктами та змінами</w:t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2n50viw1egg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ОСВІТНІ ТЕХНОЛОГІЇ, ФОРМИ ТА МЕТОДИ НАВЧАННЯ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процесі вивчення навчальної дисципліни використовуються інноваційні та традиційні освітні технології, форми і методи навчання, серед яких: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антилекція,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відео-конференції, проблемно-пошукові та  інтерактивні методи, вирішення ситуаційних завдань, робота з інформаційними ресурсами, самостійна робота над індивідуальним завданням та ін.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1grrh2f82ji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ФОРМИ Й МЕТОДИ КОНТРОЛЮ ТА ОЦІНЮВАННЯ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Поточний контроль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усне та письмове опитування, тестування, есе, творча робота,  презентація та ін.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Підсумковий  контроль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екзамен.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" w:right="2" w:firstLine="57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КРИТЕРІЇ ОЦІНЮВАННЯ РЕЗУЛЬТАТІВ НАВЧАННЯ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ECTS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</w:t>
        <w:tab/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ПОЛІТИКА ЩОДО АКАДЕМІЧНОЇ ДОБРОЧЕСНОСТІ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«Етичний кодекс Чернівецького національного університету імені Юрія Федьковича»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70c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https://www.chnu.edu.ua/media/jxdbs0zb/etychnyi-kodeks-chernivets koho-natsionalnoho-universytetu.pdf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«Положення про виявлення та запобігання академічного плагіату у Чернівецькому національному університету імені Юрія Федьковича» 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70c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https://www.chnu.edu.ua/media/n5nbzwgb/polozhennia-chnu-pro-plahi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8"/>
          <w:szCs w:val="28"/>
          <w:u w:val="single"/>
          <w:shd w:fill="auto" w:val="clear"/>
          <w:vertAlign w:val="baseline"/>
          <w:rtl w:val="0"/>
        </w:rPr>
        <w:t xml:space="preserve"> at-2023plusdodatky-31102023.pdf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ІНФОРМАЦІЙНІ РЕСУРСИ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Інституційний репозитарій відкритого доступу представників Чернівецького національного університету імені Юрія Федьковича. URL: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https://archer.chnu.edu.ua/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Інформаційна платформа Management.com.ua. URL: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https://www.management.com.ua/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Національна бібліотека України ім. В.І. Вернадського. URL: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http://www.nbuv.gov.ua/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Офіційний сайт Всесвітнього економічного форуму (World Economic Forum). URL: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https://www.weforum.org/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Офіційний сайт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Boston Consulting Group. URL: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highlight w:val="white"/>
            <w:u w:val="single"/>
            <w:vertAlign w:val="baseline"/>
            <w:rtl w:val="0"/>
          </w:rPr>
          <w:t xml:space="preserve">https://www.bcg.com/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Офіційний сайт Harvard Business Review: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highlight w:val="white"/>
            <w:u w:val="single"/>
            <w:vertAlign w:val="baseline"/>
            <w:rtl w:val="0"/>
          </w:rPr>
          <w:t xml:space="preserve">https://hbr.org/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2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2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Детальна інформація щодо вивчення курсу «Менеджмент»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висвітлена у робочій програмі  навчальної дисципліни: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23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highlight w:val="white"/>
            <w:u w:val="single"/>
            <w:rtl w:val="0"/>
          </w:rPr>
          <w:t xml:space="preserve">https://finance.chnu.edu.ua/diialnist/osvitnia-diialnist/bakalavr/navchalni-dystsypliny/robochi-prohramy/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40" w:w="11910" w:orient="portrait"/>
      <w:pgMar w:bottom="1134" w:top="1134" w:left="141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cs="Times New Roman" w:eastAsia="Times New Roman" w:hAnsi="Times New Roman"/>
        <w:b w:val="0"/>
        <w:bCs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paragraph" w:styleId="Заголовок1">
    <w:name w:val="Заголовок 1"/>
    <w:basedOn w:val="Обычный"/>
    <w:next w:val="Заголовок1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321" w:right="516"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859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k-UA"/>
    </w:r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859" w:leftChars="-1" w:rightChars="0" w:hanging="36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paragraph" w:styleId="TableParagraph">
    <w:name w:val="Table Paragraph"/>
    <w:basedOn w:val="Обычный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105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Просмотреннаягиперссылка">
    <w:name w:val="Просмотренная гиперссылка"/>
    <w:next w:val="Просмотреннаягиперссылка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uk-UA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val="uk-UA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ru-RU"/>
    </w:rPr>
  </w:style>
  <w:style w:type="character" w:styleId="iudoqc">
    <w:name w:val="iudoqc"/>
    <w:basedOn w:val="Основнойшрифтабзаца"/>
    <w:next w:val="iudoqc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Неразрешенноеупоминание1">
    <w:name w:val="Неразрешенное упоминание1"/>
    <w:next w:val="Неразрешенноеупоминание1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Обычный(Интернет)">
    <w:name w:val="Обычный (Интернет)"/>
    <w:basedOn w:val="Обычный"/>
    <w:next w:val="Обычный(Интернет)"/>
    <w:autoRedefine w:val="0"/>
    <w:hidden w:val="0"/>
    <w:qFormat w:val="1"/>
    <w:pPr>
      <w:widowControl w:val="1"/>
      <w:suppressAutoHyphens w:val="1"/>
      <w:autoSpaceDE w:val="1"/>
      <w:autoSpaceDN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k-UA" w:val="uk-UA"/>
    </w:rPr>
  </w:style>
  <w:style w:type="paragraph" w:styleId="docdata,docy,v5,12343,baiaagaaboqcaaadxigaaauxlaaaaaaaaaaaaaaaaaaaaaaaaaaaaaaaaaaaaaaaaaaaaaaaaaaaaaaaaaaaaaaaaaaaaaaaaaaaaaaaaaaaaaaaaaaaaaaaaaaaaaaaaaaaaaaaaaaaaaaaaaaaaaaaaaaaaaaaaaaaaaaaaaaaaaaaaaaaaaaaaaaaaaaaaaaaaaaaaaaaaaaaaaaaaaaaaaaaaaaaaaaaaaa">
    <w:name w:val="docdata,docy,v5,12343,baiaagaaboqcaaadxigaaauxlaaaaaaaaaaaaaaaaaaaaaaaaaaaaaaaaaaaaaaaaaaaaaaaaaaaaaaaaaaaaaaaaaaaaaaaaaaaaaaaaaaaaaaaaaaaaaaaaaaaaaaaaaaaaaaaaaaaaaaaaaaaaaaaaaaaaaaaaaaaaaaaaaaaaaaaaaaaaaaaaaaaaaaaaaaaaaaaaaaaaaaaaaaaaaaaaaaaaaaaaaaaaaa"/>
    <w:basedOn w:val="Обычный"/>
    <w:next w:val="docdata,docy,v5,12343,baiaagaaboqcaaadxigaaauxlaaaaaaaaaaaaaaaaaaaaaaaaaaaaaaaaaaaaaaaaaaaaaaaaaaaaaaaaaaaaaaaaaaaaaaaaaaaaaaaaaaaaaaaaaaaaaaaaaaaaaaaaaaaaaaaaaaaaaaaaaaaaaaaaaaaaaaaaaaaaaaaaaaaaaaaaaaaaaaaaaaaaaaaaaaaaaaaaaaaaaaaaaaaaaaaaaaaaaaaaaaaaaa"/>
    <w:autoRedefine w:val="0"/>
    <w:hidden w:val="0"/>
    <w:qFormat w:val="0"/>
    <w:pPr>
      <w:widowControl w:val="1"/>
      <w:suppressAutoHyphens w:val="1"/>
      <w:autoSpaceDE w:val="1"/>
      <w:autoSpaceDN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Неразрешенноеупоминание2">
    <w:name w:val="Неразрешенное упоминание2"/>
    <w:next w:val="Неразрешенноеупоминание2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Выделение">
    <w:name w:val="Выделение"/>
    <w:next w:val="Выделение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Знакпримечания">
    <w:name w:val="Знак примечания"/>
    <w:next w:val="Знакпримечания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Текстпримечания">
    <w:name w:val="Текст примечания"/>
    <w:basedOn w:val="Обычный"/>
    <w:next w:val="Текстпримечания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k-UA"/>
    </w:rPr>
  </w:style>
  <w:style w:type="character" w:styleId="ТекстпримечанияЗнак">
    <w:name w:val="Текст примечания Знак"/>
    <w:next w:val="ТекстпримечанияЗнак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val="uk-UA"/>
    </w:rPr>
  </w:style>
  <w:style w:type="paragraph" w:styleId="Основнойтекст3">
    <w:name w:val="Основной текст 3"/>
    <w:basedOn w:val="Обычный"/>
    <w:next w:val="Основнойтекст3"/>
    <w:autoRedefine w:val="0"/>
    <w:hidden w:val="0"/>
    <w:qFormat w:val="1"/>
    <w:pPr>
      <w:widowControl w:val="0"/>
      <w:suppressAutoHyphens w:val="1"/>
      <w:autoSpaceDE w:val="0"/>
      <w:autoSpaceDN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uk-UA"/>
    </w:rPr>
  </w:style>
  <w:style w:type="character" w:styleId="Основнойтекст3Знак">
    <w:name w:val="Основной текст 3 Знак"/>
    <w:next w:val="Основнойтекст3Знак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val="uk-UA"/>
    </w:rPr>
  </w:style>
  <w:style w:type="character" w:styleId="hps">
    <w:name w:val="hps"/>
    <w:basedOn w:val="Основнойшрифтабзаца"/>
    <w:next w:val="hp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Темапримечания">
    <w:name w:val="Тема примечания"/>
    <w:basedOn w:val="Текстпримечания"/>
    <w:next w:val="Текстпримечания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k-UA"/>
    </w:rPr>
  </w:style>
  <w:style w:type="character" w:styleId="ТемапримечанияЗнак">
    <w:name w:val="Тема примечания Знак"/>
    <w:next w:val="ТемапримечанияЗнак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val="uk-UA"/>
    </w:rPr>
  </w:style>
  <w:style w:type="character" w:styleId="Неразрешенноеупоминание">
    <w:name w:val="Неразрешенное упоминание"/>
    <w:next w:val="Неразрешенноеупоминание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weforum.org/" TargetMode="External"/><Relationship Id="rId11" Type="http://schemas.openxmlformats.org/officeDocument/2006/relationships/hyperlink" Target="mailto:v.zapukhlyak@chnu.edu.ua" TargetMode="External"/><Relationship Id="rId22" Type="http://schemas.openxmlformats.org/officeDocument/2006/relationships/hyperlink" Target="https://hbr.org/" TargetMode="External"/><Relationship Id="rId10" Type="http://schemas.openxmlformats.org/officeDocument/2006/relationships/hyperlink" Target="tel:+380372525156" TargetMode="External"/><Relationship Id="rId21" Type="http://schemas.openxmlformats.org/officeDocument/2006/relationships/hyperlink" Target="https://www.bcg.com/" TargetMode="External"/><Relationship Id="rId13" Type="http://schemas.openxmlformats.org/officeDocument/2006/relationships/hyperlink" Target="https://moodle.chnu.edu.ua/course/view.php?id=5091" TargetMode="External"/><Relationship Id="rId12" Type="http://schemas.openxmlformats.org/officeDocument/2006/relationships/hyperlink" Target="mailto:v.n.pidgirna@chnu.edu.ua" TargetMode="External"/><Relationship Id="rId23" Type="http://schemas.openxmlformats.org/officeDocument/2006/relationships/hyperlink" Target="https://finance.chnu.edu.ua/diialnist/osvitnia-diialnist/bakalavr/navchalni-dystsypliny/robochi-prohramy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cogeo.chnu.edu.ua/spivrobitnyky/profesorsko-vykladatskyi-sklad/pidhirna-valentyna-nykyforivna/" TargetMode="External"/><Relationship Id="rId15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hyperlink" Target="https://moodle.chnu.edu.ua/course/view.php?id=2230" TargetMode="External"/><Relationship Id="rId17" Type="http://schemas.openxmlformats.org/officeDocument/2006/relationships/hyperlink" Target="https://archer.chnu.edu.ua/" TargetMode="External"/><Relationship Id="rId16" Type="http://schemas.openxmlformats.org/officeDocument/2006/relationships/hyperlink" Target="https://www.chnu.edu.ua/media/n5nbzwgb/polozhennia-chnu-pro-plahi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nbuv.gov.ua/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www.management.com.ua/" TargetMode="External"/><Relationship Id="rId7" Type="http://schemas.openxmlformats.org/officeDocument/2006/relationships/image" Target="media/image1.jpg"/><Relationship Id="rId8" Type="http://schemas.openxmlformats.org/officeDocument/2006/relationships/hyperlink" Target="http://econom.chnu.edu.ua/kafedry-ekonomichnogo-fakultetu/kafedra-menedzhmentu-ekonomichnoyi-teo/kolektyv-kafedry/zapuhlyak-volodymyr-myhajlovych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F0jv8rlaGrgQ5jTEfFA8PIm4kg==">CgMxLjAaJQoBMBIgCh4IB0IaCg9UaW1lcyBOZXcgUm9tYW4SB0d1bmdzdWgyDmguMm41MHZpdzFlZ2d1Mg5oLjFncnJoMmY4MmppbTgAciExMnVQRWh0QVV4MDU2WlJ3cUtFU0Z4SjBQaGRnamtpLTM=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2025-09-21T22:51:00Z</dcterms:created>
  <dc:creator>Мастер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Created">
    <vt:filetime>2020-05-09T00:00:00Z</vt:filetime>
  </property>
  <property fmtid="{D5CDD505-2E9C-101B-9397-08002B2CF9AE}" pid="4" name="Creator">
    <vt:lpstr>Acrobat PDFMaker 20 для Word</vt:lpstr>
  </property>
  <property fmtid="{D5CDD505-2E9C-101B-9397-08002B2CF9AE}" pid="5" name="LastSaved">
    <vt:filetime>2020-11-23T00:00:00Z</vt:filetime>
  </property>
</Properties>
</file>