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6D59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D545345" wp14:editId="170B50F1">
            <wp:simplePos x="0" y="0"/>
            <wp:positionH relativeFrom="page">
              <wp:posOffset>719113</wp:posOffset>
            </wp:positionH>
            <wp:positionV relativeFrom="paragraph">
              <wp:posOffset>-138430</wp:posOffset>
            </wp:positionV>
            <wp:extent cx="99949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14:paraId="2E5B98B2" w14:textId="77777777" w:rsidR="002E0A0F" w:rsidRDefault="001779EC" w:rsidP="0090717D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«ЗОВНІШНЬОЕКОНОМІЧНА ДІЯЛЬНІСТЬ</w:t>
      </w:r>
      <w:r w:rsidR="002E0A0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14:paraId="0AFDA255" w14:textId="77777777"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14:paraId="3F495D29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proofErr w:type="spellStart"/>
      <w:r w:rsidR="00291D3D" w:rsidRPr="00EA5CB0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о</w:t>
      </w:r>
      <w:r w:rsidR="00CC6FED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бов</w:t>
      </w:r>
      <w:proofErr w:type="spellEnd"/>
      <w:r w:rsidR="00CC6FED" w:rsidRPr="00CC6FED">
        <w:rPr>
          <w:rFonts w:ascii="Times New Roman" w:eastAsia="Times New Roman" w:hAnsi="Times New Roman" w:cs="Times New Roman"/>
          <w:b/>
          <w:i/>
          <w:sz w:val="28"/>
          <w:u w:val="thick"/>
        </w:rPr>
        <w:t>’</w:t>
      </w:r>
      <w:proofErr w:type="spellStart"/>
      <w:r w:rsidR="00CC6FED">
        <w:rPr>
          <w:rFonts w:ascii="Times New Roman" w:eastAsia="Times New Roman" w:hAnsi="Times New Roman" w:cs="Times New Roman"/>
          <w:b/>
          <w:i/>
          <w:sz w:val="28"/>
          <w:u w:val="thick"/>
        </w:rPr>
        <w:t>язкова</w:t>
      </w:r>
      <w:proofErr w:type="spellEnd"/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4</w:t>
      </w:r>
      <w:r w:rsidRPr="00EA5CB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EA5CB0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EA5CB0" w:rsidRPr="00EA5CB0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7C87D644" w14:textId="77777777"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233EFE2" w14:textId="77777777"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EA5CB0" w:rsidRPr="00B565BE" w14:paraId="67EE4FC5" w14:textId="77777777" w:rsidTr="00862F6B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6A46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99C" w14:textId="77777777" w:rsidR="00EA5CB0" w:rsidRPr="003657E6" w:rsidRDefault="003657E6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 w:rsidRPr="003657E6">
              <w:rPr>
                <w:color w:val="222222"/>
                <w:position w:val="-1"/>
                <w:sz w:val="28"/>
                <w:szCs w:val="28"/>
                <w:shd w:val="clear" w:color="auto" w:fill="FFFFFF"/>
                <w:lang w:eastAsia="ru-RU"/>
              </w:rPr>
              <w:t>Економіка та організація бізнесу</w:t>
            </w:r>
          </w:p>
        </w:tc>
      </w:tr>
      <w:tr w:rsidR="00EA5CB0" w:rsidRPr="003657E6" w14:paraId="481BCD29" w14:textId="77777777" w:rsidTr="00862F6B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1A33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401" w14:textId="77777777" w:rsidR="00EA5CB0" w:rsidRPr="00F7537E" w:rsidRDefault="00EA5CB0" w:rsidP="003657E6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076 Підприємництво</w:t>
            </w:r>
            <w:r w:rsidR="003657E6">
              <w:rPr>
                <w:bCs/>
                <w:sz w:val="28"/>
                <w:szCs w:val="28"/>
              </w:rPr>
              <w:t xml:space="preserve"> та </w:t>
            </w:r>
            <w:r>
              <w:rPr>
                <w:bCs/>
                <w:sz w:val="28"/>
                <w:szCs w:val="28"/>
              </w:rPr>
              <w:t>торгівля</w:t>
            </w:r>
          </w:p>
        </w:tc>
      </w:tr>
      <w:tr w:rsidR="00EA5CB0" w14:paraId="1D578DA2" w14:textId="77777777" w:rsidTr="00862F6B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6CB7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BFA" w14:textId="77777777" w:rsidR="00EA5CB0" w:rsidRPr="003A156B" w:rsidRDefault="00EA5CB0" w:rsidP="00EA5CB0">
            <w:pPr>
              <w:pStyle w:val="TableParagraph"/>
              <w:ind w:left="13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Управління та адміністрування</w:t>
            </w:r>
          </w:p>
        </w:tc>
      </w:tr>
      <w:tr w:rsidR="00EA5CB0" w14:paraId="53A6C302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4456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71D4" w14:textId="77777777" w:rsidR="00EA5CB0" w:rsidRPr="00E47FCF" w:rsidRDefault="00EA5CB0" w:rsidP="00EA5CB0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EA5CB0" w14:paraId="134F7D89" w14:textId="77777777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FA45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FB0A" w14:textId="77777777" w:rsidR="00EA5CB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українська</w:t>
            </w:r>
          </w:p>
        </w:tc>
      </w:tr>
      <w:tr w:rsidR="00EA5CB0" w:rsidRPr="00646D78" w14:paraId="4013747C" w14:textId="77777777" w:rsidTr="0090717D">
        <w:trPr>
          <w:trHeight w:hRule="exact" w:val="135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AE82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A4D8" w14:textId="77777777" w:rsidR="00EA5CB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Гаврилюк Оксана Володимирівна – кандидат   економічних наук, доцент  кафедри міжнародної економіки </w:t>
            </w:r>
          </w:p>
          <w:p w14:paraId="1F8EB070" w14:textId="77777777" w:rsidR="00EA5CB0" w:rsidRPr="00067FD7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u w:val="single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uk-UA"/>
              </w:rPr>
              <w:t>http:</w:t>
            </w:r>
            <w:r w:rsidRPr="00067FD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k-UA"/>
              </w:rPr>
              <w:t>//</w:t>
            </w:r>
            <w:hyperlink r:id="rId7" w:tgtFrame="_blank" w:history="1">
              <w:r w:rsidRPr="00067FD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 xml:space="preserve">interec.info/persons/gavrylyuk-oksana- </w:t>
              </w:r>
              <w:proofErr w:type="spellStart"/>
              <w:r w:rsidRPr="00067FD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volodymyrivna</w:t>
              </w:r>
              <w:proofErr w:type="spellEnd"/>
              <w:r w:rsidRPr="00067FD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</w:hyperlink>
          </w:p>
        </w:tc>
      </w:tr>
      <w:tr w:rsidR="00EA5CB0" w14:paraId="0E34EB5D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8194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DE03" w14:textId="77777777" w:rsidR="00EA5CB0" w:rsidRDefault="00EA5CB0" w:rsidP="00EA5CB0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+38050 691 06 75</w:t>
            </w:r>
          </w:p>
        </w:tc>
      </w:tr>
      <w:tr w:rsidR="00EA5CB0" w:rsidRPr="00646D78" w14:paraId="100E45C6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61332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38C8" w14:textId="77777777" w:rsidR="00EA5CB0" w:rsidRPr="001D441C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o</w:t>
            </w:r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gavrilyuk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@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chnu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edu</w:t>
            </w:r>
            <w:proofErr w:type="spellEnd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uk-UA"/>
              </w:rPr>
              <w:t>.</w:t>
            </w:r>
            <w:proofErr w:type="spellStart"/>
            <w:r w:rsidRPr="001D441C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ua</w:t>
            </w:r>
            <w:proofErr w:type="spellEnd"/>
          </w:p>
        </w:tc>
      </w:tr>
      <w:tr w:rsidR="00EA5CB0" w:rsidRPr="00646D78" w14:paraId="565CA3E6" w14:textId="77777777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6CD0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14:paraId="62361DA9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BBC7" w14:textId="77777777" w:rsidR="00EA5CB0" w:rsidRPr="00067FD7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h</w:t>
            </w:r>
            <w:r w:rsidRPr="00067FD7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>ttps://moodle.chnu.edu.ua/course/view.php?id=3212</w:t>
            </w:r>
          </w:p>
        </w:tc>
      </w:tr>
      <w:tr w:rsidR="00EA5CB0" w14:paraId="111C11A2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89E5" w14:textId="77777777" w:rsidR="00EA5CB0" w:rsidRDefault="00EA5CB0" w:rsidP="00EA5CB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ED9C7" w14:textId="77777777" w:rsidR="00EA5CB0" w:rsidRDefault="00EA5CB0" w:rsidP="00EA5CB0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14:paraId="56157AFD" w14:textId="77777777" w:rsidR="00EA5CB0" w:rsidRDefault="00EA5CB0" w:rsidP="00EA5CB0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ку</w:t>
            </w:r>
          </w:p>
        </w:tc>
      </w:tr>
    </w:tbl>
    <w:p w14:paraId="7CDD1F88" w14:textId="77777777"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14:paraId="4A0FA0A3" w14:textId="77777777" w:rsidR="00CE47A5" w:rsidRPr="00CE47A5" w:rsidRDefault="00CE47A5" w:rsidP="00CE4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47A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Дисципліна «Зовнішньоекономічна діяльність» є дисципліною базової складової навчального плану, циклу дисциплін, які формують спеціальні компетентності фахівців з </w:t>
      </w:r>
      <w:r w:rsidRPr="00CE47A5">
        <w:rPr>
          <w:rFonts w:ascii="Times New Roman" w:eastAsia="Courier New" w:hAnsi="Times New Roman" w:cs="Times New Roman"/>
          <w:bCs/>
          <w:color w:val="000000"/>
          <w:sz w:val="28"/>
          <w:szCs w:val="28"/>
          <w:lang w:val="uk-UA" w:eastAsia="uk-UA" w:bidi="uk-UA"/>
        </w:rPr>
        <w:t>підприємництва, торгівлі та біржової діяльності.</w:t>
      </w:r>
    </w:p>
    <w:p w14:paraId="54926D59" w14:textId="77777777" w:rsidR="0046779A" w:rsidRPr="0046779A" w:rsidRDefault="00B53F6C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дисципліни -</w:t>
      </w:r>
      <w:r w:rsidR="0046779A" w:rsidRPr="0046779A">
        <w:rPr>
          <w:lang w:val="uk-UA"/>
        </w:rPr>
        <w:t xml:space="preserve"> </w:t>
      </w:r>
      <w:r w:rsidR="0046779A" w:rsidRPr="0046779A">
        <w:rPr>
          <w:rFonts w:ascii="Times New Roman" w:hAnsi="Times New Roman" w:cs="Times New Roman"/>
          <w:sz w:val="28"/>
          <w:szCs w:val="28"/>
          <w:lang w:val="uk-UA"/>
        </w:rPr>
        <w:t>формування у студента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зовнішньоекономічних зв’язків.</w:t>
      </w:r>
    </w:p>
    <w:p w14:paraId="1079CAE6" w14:textId="77777777" w:rsidR="00B53F6C" w:rsidRPr="0046779A" w:rsidRDefault="0046779A" w:rsidP="009071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B53F6C" w:rsidRPr="004677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сформувати у студентів цілісну систему знань з організації і економіки зовнішньоекономічних зв’язків;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 з </w:t>
      </w:r>
      <w:proofErr w:type="spellStart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понятійно</w:t>
      </w:r>
      <w:proofErr w:type="spellEnd"/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-термінологічним апаратом, що характеризує організацію й економіку зовнішньоекономічних зв’язків; розкрити взаємозв’язок усіх понять, внутрішню логіку та організаційно-економічну модель зовнішньоекономічної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77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набуття навиків розв’язання прикладних проблем при прийнятті управлінських рішень у сфері зовнішньоекономічної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1D20B8" w14:textId="77777777" w:rsidR="00646D78" w:rsidRDefault="00646D78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0B207FE9" w14:textId="3EDB60CB"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14:paraId="78D7BE1F" w14:textId="77777777"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646D78" w14:paraId="5DEA70D6" w14:textId="77777777" w:rsidTr="0090717D">
        <w:trPr>
          <w:trHeight w:val="371"/>
        </w:trPr>
        <w:tc>
          <w:tcPr>
            <w:tcW w:w="9356" w:type="dxa"/>
            <w:gridSpan w:val="2"/>
          </w:tcPr>
          <w:p w14:paraId="07A5991C" w14:textId="77777777" w:rsidR="0095575B" w:rsidRPr="0095575B" w:rsidRDefault="00A15B3A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ОДУЛЬ</w:t>
            </w:r>
            <w:r w:rsidR="00A44838"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І.</w:t>
            </w:r>
            <w:r w:rsidRPr="0095575B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  <w:lang w:val="uk-UA"/>
              </w:rPr>
              <w:t xml:space="preserve"> </w:t>
            </w:r>
            <w:r w:rsidR="00FA0626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Т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ЕОРЕТИЧНІ ОСНОВИ </w:t>
            </w:r>
          </w:p>
          <w:p w14:paraId="76EF85BC" w14:textId="77777777" w:rsidR="00A15B3A" w:rsidRPr="00A44838" w:rsidRDefault="0095575B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ЗОВНІШНЬОЕКОНОМІЧНОЇ ДІЯЛЬНОСТІ</w:t>
            </w:r>
            <w:r w:rsidR="00A44838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8"/>
                <w:szCs w:val="28"/>
                <w:lang w:val="uk-UA"/>
              </w:rPr>
              <w:t xml:space="preserve"> </w:t>
            </w:r>
          </w:p>
        </w:tc>
      </w:tr>
      <w:tr w:rsidR="00A15B3A" w:rsidRPr="00A15B3A" w14:paraId="7D79909C" w14:textId="77777777" w:rsidTr="0090717D">
        <w:trPr>
          <w:trHeight w:val="321"/>
        </w:trPr>
        <w:tc>
          <w:tcPr>
            <w:tcW w:w="1134" w:type="dxa"/>
          </w:tcPr>
          <w:p w14:paraId="05F79F2E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8222" w:type="dxa"/>
          </w:tcPr>
          <w:p w14:paraId="07A26E99" w14:textId="77777777" w:rsidR="00A15B3A" w:rsidRPr="00A44838" w:rsidRDefault="00A41C6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Вступ до курсу «Зовнішньоекономічна діяльність»</w:t>
            </w:r>
          </w:p>
        </w:tc>
      </w:tr>
      <w:tr w:rsidR="00A15B3A" w:rsidRPr="00646D78" w14:paraId="614AF574" w14:textId="77777777" w:rsidTr="0090717D">
        <w:trPr>
          <w:trHeight w:val="323"/>
        </w:trPr>
        <w:tc>
          <w:tcPr>
            <w:tcW w:w="1134" w:type="dxa"/>
          </w:tcPr>
          <w:p w14:paraId="3BADB73E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Те</w:t>
            </w:r>
            <w:r w:rsidR="00604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 2</w:t>
            </w:r>
          </w:p>
        </w:tc>
        <w:tc>
          <w:tcPr>
            <w:tcW w:w="8222" w:type="dxa"/>
          </w:tcPr>
          <w:p w14:paraId="125BA80F" w14:textId="77777777"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Сутність, склад і види зовнішньоекономічних зв’язків та зовнішньоекономічної діяльності</w:t>
            </w:r>
          </w:p>
        </w:tc>
      </w:tr>
      <w:tr w:rsidR="00A15B3A" w:rsidRPr="00A15B3A" w14:paraId="4D416B6D" w14:textId="77777777" w:rsidTr="0090717D">
        <w:trPr>
          <w:trHeight w:val="321"/>
        </w:trPr>
        <w:tc>
          <w:tcPr>
            <w:tcW w:w="1134" w:type="dxa"/>
          </w:tcPr>
          <w:p w14:paraId="13B75137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8222" w:type="dxa"/>
          </w:tcPr>
          <w:p w14:paraId="7AB357EF" w14:textId="77777777" w:rsidR="00A15B3A" w:rsidRPr="00A44838" w:rsidRDefault="00A15B3A" w:rsidP="0090717D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A2756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Зовнішньоекономічна діяльність в Україні та напрямки її розвитку</w:t>
            </w:r>
          </w:p>
        </w:tc>
      </w:tr>
      <w:tr w:rsidR="00A15B3A" w:rsidRPr="00A15B3A" w14:paraId="2682B802" w14:textId="77777777" w:rsidTr="0090717D">
        <w:trPr>
          <w:trHeight w:val="321"/>
        </w:trPr>
        <w:tc>
          <w:tcPr>
            <w:tcW w:w="1134" w:type="dxa"/>
          </w:tcPr>
          <w:p w14:paraId="61C31B53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222" w:type="dxa"/>
          </w:tcPr>
          <w:p w14:paraId="14FC1A1E" w14:textId="77777777" w:rsidR="00A15B3A" w:rsidRPr="00A44838" w:rsidRDefault="005A2756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Механізм державного </w:t>
            </w:r>
            <w:r w:rsid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в сфері ЗЕД</w:t>
            </w:r>
          </w:p>
        </w:tc>
      </w:tr>
      <w:tr w:rsidR="00A44838" w:rsidRPr="00A15B3A" w14:paraId="025F86AE" w14:textId="77777777" w:rsidTr="0090717D">
        <w:trPr>
          <w:trHeight w:val="321"/>
        </w:trPr>
        <w:tc>
          <w:tcPr>
            <w:tcW w:w="1134" w:type="dxa"/>
          </w:tcPr>
          <w:p w14:paraId="7FD9E6A9" w14:textId="77777777" w:rsidR="00A4483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4.1</w:t>
            </w:r>
          </w:p>
        </w:tc>
        <w:tc>
          <w:tcPr>
            <w:tcW w:w="8222" w:type="dxa"/>
          </w:tcPr>
          <w:p w14:paraId="6572DB9A" w14:textId="77777777" w:rsidR="00A44838" w:rsidRPr="00A44838" w:rsidRDefault="00A4483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ЗЕД в Україні</w:t>
            </w:r>
          </w:p>
        </w:tc>
      </w:tr>
      <w:tr w:rsidR="001F75B8" w:rsidRPr="00A15B3A" w14:paraId="748C254B" w14:textId="77777777" w:rsidTr="0090717D">
        <w:trPr>
          <w:trHeight w:val="321"/>
        </w:trPr>
        <w:tc>
          <w:tcPr>
            <w:tcW w:w="1134" w:type="dxa"/>
          </w:tcPr>
          <w:p w14:paraId="25BE6B9F" w14:textId="77777777" w:rsidR="001F75B8" w:rsidRPr="00EA5CB0" w:rsidRDefault="00A4483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4.2</w:t>
            </w:r>
          </w:p>
        </w:tc>
        <w:tc>
          <w:tcPr>
            <w:tcW w:w="8222" w:type="dxa"/>
          </w:tcPr>
          <w:p w14:paraId="15338543" w14:textId="77777777"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нетарифного регулювання ЗЕД</w:t>
            </w:r>
          </w:p>
        </w:tc>
      </w:tr>
      <w:tr w:rsidR="001F75B8" w:rsidRPr="00A15B3A" w14:paraId="68338A40" w14:textId="77777777" w:rsidTr="0090717D">
        <w:trPr>
          <w:trHeight w:val="321"/>
        </w:trPr>
        <w:tc>
          <w:tcPr>
            <w:tcW w:w="1134" w:type="dxa"/>
          </w:tcPr>
          <w:p w14:paraId="3F7F92CD" w14:textId="77777777" w:rsidR="001F75B8" w:rsidRPr="00EA5CB0" w:rsidRDefault="001F75B8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A44838" w:rsidRPr="00EA5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4.3</w:t>
            </w:r>
          </w:p>
        </w:tc>
        <w:tc>
          <w:tcPr>
            <w:tcW w:w="8222" w:type="dxa"/>
          </w:tcPr>
          <w:p w14:paraId="1C2F9353" w14:textId="77777777" w:rsidR="001F75B8" w:rsidRPr="00A44838" w:rsidRDefault="001F75B8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Суть та особливості митно-тарифної системи регулювання ЗЕД</w:t>
            </w:r>
          </w:p>
        </w:tc>
      </w:tr>
      <w:tr w:rsidR="00A15B3A" w:rsidRPr="00646D78" w14:paraId="61B227BB" w14:textId="77777777" w:rsidTr="0090717D">
        <w:trPr>
          <w:trHeight w:val="635"/>
        </w:trPr>
        <w:tc>
          <w:tcPr>
            <w:tcW w:w="1134" w:type="dxa"/>
          </w:tcPr>
          <w:p w14:paraId="1C4BB4CF" w14:textId="77777777"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1F6430D5" w14:textId="77777777" w:rsidR="00A15B3A" w:rsidRPr="0095575B" w:rsidRDefault="00A15B3A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ОДУЛЬ</w:t>
            </w:r>
            <w:r w:rsidRPr="0095575B">
              <w:rPr>
                <w:rFonts w:ascii="Times New Roman" w:eastAsia="Times New Roman" w:hAnsi="Times New Roman" w:cs="Times New Roman"/>
                <w:b/>
                <w:spacing w:val="21"/>
                <w:sz w:val="28"/>
                <w:szCs w:val="28"/>
                <w:lang w:val="uk-UA" w:eastAsia="ru-RU"/>
              </w:rPr>
              <w:t xml:space="preserve"> </w:t>
            </w:r>
            <w:r w:rsidRPr="00955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ІІ.</w:t>
            </w:r>
            <w:r w:rsidRPr="0095575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uk-UA" w:eastAsia="ru-RU"/>
              </w:rPr>
              <w:t xml:space="preserve"> </w:t>
            </w:r>
            <w:r w:rsidR="001F75B8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</w:t>
            </w:r>
            <w:r w:rsidR="0095575B" w:rsidRPr="00955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СОБЛИВОСТІ ОРГАНІЗАЦІЇ ТА ЗДІЙСНЕННЯ ЗОВНІШНЬОЕКОНОМІЧНИХ ЗВ’ЯЗКІВ</w:t>
            </w:r>
          </w:p>
        </w:tc>
      </w:tr>
      <w:tr w:rsidR="008B1862" w:rsidRPr="00A15B3A" w14:paraId="23BBA133" w14:textId="77777777" w:rsidTr="0090717D">
        <w:trPr>
          <w:trHeight w:val="321"/>
        </w:trPr>
        <w:tc>
          <w:tcPr>
            <w:tcW w:w="1134" w:type="dxa"/>
          </w:tcPr>
          <w:p w14:paraId="0AAB0E4C" w14:textId="77777777" w:rsidR="008B1862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222" w:type="dxa"/>
          </w:tcPr>
          <w:p w14:paraId="5F503986" w14:textId="77777777" w:rsidR="008B1862" w:rsidRPr="008B1862" w:rsidRDefault="008B1862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18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Маркетингові дослідження зовнішнього ринку при здійсненні експортно-імпортних операцій</w:t>
            </w:r>
          </w:p>
        </w:tc>
      </w:tr>
      <w:tr w:rsidR="00A15B3A" w:rsidRPr="00A15B3A" w14:paraId="3CF89F10" w14:textId="77777777" w:rsidTr="0090717D">
        <w:trPr>
          <w:trHeight w:val="321"/>
        </w:trPr>
        <w:tc>
          <w:tcPr>
            <w:tcW w:w="1134" w:type="dxa"/>
          </w:tcPr>
          <w:p w14:paraId="7023DAFF" w14:textId="77777777"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2A954EB1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технічна підготовка укладання та виконання зовнішньоекономічних контрактів</w:t>
            </w:r>
          </w:p>
        </w:tc>
      </w:tr>
      <w:tr w:rsidR="00A15B3A" w:rsidRPr="00A15B3A" w14:paraId="2D306BDA" w14:textId="77777777" w:rsidTr="0090717D">
        <w:trPr>
          <w:trHeight w:val="323"/>
        </w:trPr>
        <w:tc>
          <w:tcPr>
            <w:tcW w:w="1134" w:type="dxa"/>
          </w:tcPr>
          <w:p w14:paraId="28FAFC96" w14:textId="77777777"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8222" w:type="dxa"/>
          </w:tcPr>
          <w:p w14:paraId="3FB8BCD1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 і технологія транспортного забезпечення ЗЕД</w:t>
            </w:r>
          </w:p>
        </w:tc>
      </w:tr>
      <w:tr w:rsidR="00A15B3A" w:rsidRPr="00646D78" w14:paraId="6FD6E230" w14:textId="77777777" w:rsidTr="0090717D">
        <w:trPr>
          <w:trHeight w:val="321"/>
        </w:trPr>
        <w:tc>
          <w:tcPr>
            <w:tcW w:w="1134" w:type="dxa"/>
          </w:tcPr>
          <w:p w14:paraId="35A66070" w14:textId="77777777" w:rsidR="00A15B3A" w:rsidRPr="00A44838" w:rsidRDefault="008B1862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222" w:type="dxa"/>
          </w:tcPr>
          <w:p w14:paraId="4ACE8526" w14:textId="77777777" w:rsidR="00A15B3A" w:rsidRPr="00A44838" w:rsidRDefault="00A15B3A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75B8"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Валютно-фінансові і платіжні умови  зовнішньоекономічних угод</w:t>
            </w:r>
          </w:p>
        </w:tc>
      </w:tr>
      <w:tr w:rsidR="00A15B3A" w:rsidRPr="00A15B3A" w14:paraId="6DCEA1D3" w14:textId="77777777" w:rsidTr="0090717D">
        <w:trPr>
          <w:trHeight w:val="321"/>
        </w:trPr>
        <w:tc>
          <w:tcPr>
            <w:tcW w:w="1134" w:type="dxa"/>
          </w:tcPr>
          <w:p w14:paraId="21B02E0C" w14:textId="77777777" w:rsidR="00A15B3A" w:rsidRPr="00A44838" w:rsidRDefault="00A15B3A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A44838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 xml:space="preserve">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14:paraId="7EE33755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Кредитування у ЗЕД</w:t>
            </w:r>
          </w:p>
        </w:tc>
      </w:tr>
      <w:tr w:rsidR="00A15B3A" w:rsidRPr="00A15B3A" w14:paraId="395CE371" w14:textId="77777777" w:rsidTr="0090717D">
        <w:trPr>
          <w:trHeight w:val="321"/>
        </w:trPr>
        <w:tc>
          <w:tcPr>
            <w:tcW w:w="1134" w:type="dxa"/>
          </w:tcPr>
          <w:p w14:paraId="2B2315DD" w14:textId="77777777" w:rsidR="00A15B3A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14:paraId="7C0A7CA6" w14:textId="77777777" w:rsidR="00A15B3A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Страхування у зовнішньоекономічній діяльності</w:t>
            </w:r>
          </w:p>
        </w:tc>
      </w:tr>
      <w:tr w:rsidR="001F75B8" w:rsidRPr="00A15B3A" w14:paraId="62645562" w14:textId="77777777" w:rsidTr="0090717D">
        <w:trPr>
          <w:trHeight w:val="321"/>
        </w:trPr>
        <w:tc>
          <w:tcPr>
            <w:tcW w:w="1134" w:type="dxa"/>
          </w:tcPr>
          <w:p w14:paraId="3B8E38B3" w14:textId="77777777" w:rsidR="001F75B8" w:rsidRPr="00A44838" w:rsidRDefault="000543DF" w:rsidP="009071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8B1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14:paraId="5A21EBEA" w14:textId="77777777" w:rsidR="001F75B8" w:rsidRPr="00A44838" w:rsidRDefault="001F75B8" w:rsidP="009071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48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Ефективність зовнішньоекономічної діяльності підприємств</w:t>
            </w:r>
          </w:p>
        </w:tc>
      </w:tr>
    </w:tbl>
    <w:p w14:paraId="3E2C8797" w14:textId="77777777"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14:paraId="4D5A706A" w14:textId="77777777" w:rsidR="00EA5CB0" w:rsidRPr="00EA5CB0" w:rsidRDefault="00EA5CB0" w:rsidP="00EA5CB0">
      <w:pPr>
        <w:autoSpaceDE w:val="0"/>
        <w:autoSpaceDN w:val="0"/>
        <w:adjustRightInd w:val="0"/>
        <w:spacing w:after="0" w:line="240" w:lineRule="auto"/>
        <w:ind w:left="-567" w:right="517" w:firstLine="851"/>
        <w:jc w:val="center"/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</w:pPr>
      <w:bookmarkStart w:id="0" w:name="_Hlk172196169"/>
      <w:bookmarkStart w:id="1" w:name="_Hlk172196148"/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>ОСВІТНІ ТЕХНОЛОГІЇ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  <w:lang w:val="uk-UA"/>
        </w:rPr>
        <w:t>, ФОРМИ ТА МЕТОДИ</w:t>
      </w:r>
      <w:r w:rsidRPr="00EA5CB0">
        <w:rPr>
          <w:rFonts w:ascii="Times New Roman" w:eastAsia="Calibri" w:hAnsi="Times New Roman" w:cs="Times New Roman"/>
          <w:b/>
          <w:color w:val="833C0B"/>
          <w:kern w:val="24"/>
          <w:sz w:val="28"/>
          <w:szCs w:val="28"/>
        </w:rPr>
        <w:t xml:space="preserve"> НАВЧАННЯ</w:t>
      </w:r>
    </w:p>
    <w:bookmarkEnd w:id="0"/>
    <w:bookmarkEnd w:id="1"/>
    <w:p w14:paraId="21977411" w14:textId="77777777"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14:paraId="4A4C76AF" w14:textId="77777777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семінарських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задачі, кейси, проходять тестування та інше.</w:t>
      </w:r>
    </w:p>
    <w:p w14:paraId="7271EE7D" w14:textId="77777777"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14:paraId="17D7263A" w14:textId="77777777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Самостійна робота.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Є основним засобом оволодіння навчальним матеріалом у вільний від аудиторних навчальних занять час. Самостійна робота 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. Рівень виконання студентом самостійної роботи враховується при виставленні підсумкової оцінки за змістовими модулями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E23971" w14:textId="77777777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відеоконференцій: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зовнішньоекономічної діяльності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лекцій,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дискусій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відповідей на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запитання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студентів.</w:t>
      </w:r>
    </w:p>
    <w:p w14:paraId="08C26AA3" w14:textId="77777777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lang w:val="uk-UA"/>
        </w:rPr>
        <w:t>М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ожуть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2581A6BD" w14:textId="77777777"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79E66AFC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14:paraId="17A34CF2" w14:textId="77777777"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модульні контрольні роботи; тематичні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проєктів (творчих, розрахункових, аналітичних); студентські презентації та виступи на наукових заходах, тези доповідей, статті.</w:t>
      </w:r>
    </w:p>
    <w:p w14:paraId="6ECB9C14" w14:textId="77777777"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A5CB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2FA600" w14:textId="77777777"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0015DC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14:paraId="355353D1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14:paraId="58C349ED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56F7E123" w14:textId="77777777"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84E5F6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14:paraId="7C5C931D" w14:textId="77777777" w:rsidR="00350731" w:rsidRPr="00350731" w:rsidRDefault="00350731" w:rsidP="00350731">
      <w:pPr>
        <w:pStyle w:val="a4"/>
        <w:ind w:left="0"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Дотримання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політики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щодо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академічної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доброчесності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учасниками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освітнього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про</w:t>
      </w:r>
      <w:bookmarkStart w:id="2" w:name="_GoBack"/>
      <w:bookmarkEnd w:id="2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цесу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вивченні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навчальної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дисципліни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регламентовано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такими документами:</w:t>
      </w:r>
    </w:p>
    <w:p w14:paraId="0684BA7F" w14:textId="77777777" w:rsidR="00350731" w:rsidRPr="00350731" w:rsidRDefault="00350731" w:rsidP="00350731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Етичний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кодекс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Чернівецького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національного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університету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імені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Юрія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Федьковича</w:t>
      </w:r>
      <w:proofErr w:type="spellEnd"/>
      <w:r w:rsidRPr="0035073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»</w:t>
      </w:r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8" w:history="1">
        <w:r w:rsidRPr="00350731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CF35076" w14:textId="77777777" w:rsidR="00350731" w:rsidRPr="00350731" w:rsidRDefault="00350731" w:rsidP="00350731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Положенням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виявлення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запобігання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академічного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плагіату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Чернівецькому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національному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університету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імені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Юрія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>Федьковича</w:t>
      </w:r>
      <w:proofErr w:type="spellEnd"/>
      <w:r w:rsidRPr="003507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hyperlink r:id="rId9" w:history="1">
        <w:r w:rsidRPr="00350731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350731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0D628CCC" w14:textId="77777777" w:rsidR="00350731" w:rsidRPr="00350731" w:rsidRDefault="00350731" w:rsidP="00350731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31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Чернівецькому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50731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https://www.chnu.edu.ua/media/lnojdab4/pravyla-akademichnoi-dobrochesnosti.pdf</w:t>
        </w:r>
      </w:hyperlink>
    </w:p>
    <w:p w14:paraId="18C01DFE" w14:textId="77777777" w:rsidR="00350731" w:rsidRPr="00350731" w:rsidRDefault="00350731" w:rsidP="00350731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7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Чернівецькому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університеті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731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350731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Pr="00350731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https://www.chnu.edu.ua/media/ni4ptvsk/polityka-vykorystannia-shtuchnoho-intelektu-chnu.pdf</w:t>
        </w:r>
      </w:hyperlink>
      <w:r w:rsidRPr="00350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17154" w14:textId="77777777" w:rsidR="00917C31" w:rsidRPr="00350731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</w:rPr>
      </w:pPr>
    </w:p>
    <w:p w14:paraId="32757E2E" w14:textId="77777777"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14:paraId="60767C4E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Гребельник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О.П. Основи зовнішньоекономічної діяльності: Підручник, 4-те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допов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К.: Центр учбової літератури, 2018. 452 с.</w:t>
      </w:r>
    </w:p>
    <w:p w14:paraId="3C8BB51F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Дунська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А.Р. Зовнішньоекономічна діяльність: теорія і практика: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посібник. К.: Кондор-Видавництво, 2013. 688 с.</w:t>
      </w:r>
    </w:p>
    <w:p w14:paraId="56B0389B" w14:textId="77777777" w:rsidR="00917C31" w:rsidRPr="00917C31" w:rsidRDefault="00917C31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Зовнішньоекономічна діяльність підприємств: Навчальний посібник / Козак Ю.Г.,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Логвінова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Н.С. та ін.; за ред. Ю.Г. Козака, Н.С.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Логвінової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М.А. Зайця. 4-тє вид., перероб. та </w:t>
      </w:r>
      <w:proofErr w:type="spellStart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917C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К.: Освіта України, 2012. 272 с. </w:t>
      </w:r>
    </w:p>
    <w:p w14:paraId="4178840D" w14:textId="77777777" w:rsidR="0014496D" w:rsidRPr="0090717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Державної служби статистики України. Режим доступу:</w:t>
      </w:r>
      <w:r w:rsidRPr="009071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http://www.ukrstat.gov.ua</w:t>
        </w:r>
      </w:hyperlink>
    </w:p>
    <w:p w14:paraId="476EB639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Верховної Ради України. Режим доступу: http://www.rada.gov.ua</w:t>
      </w:r>
    </w:p>
    <w:p w14:paraId="7D5177D4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веб-сайт Державної служби експортного контролю України. Режим доступу: http://www.dsecu.gov.ua</w:t>
      </w:r>
    </w:p>
    <w:p w14:paraId="396EF907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Офіційний сайт Європейського Союзу. Режим доступу: http:// www.europa.eu.int</w:t>
      </w:r>
    </w:p>
    <w:p w14:paraId="71544281" w14:textId="77777777" w:rsidR="0014496D" w:rsidRPr="0014496D" w:rsidRDefault="0014496D" w:rsidP="00E232FF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Офіційна сторінка статистичної бази ООН. Режим доступу:  http://www.trademap.org</w:t>
      </w:r>
    </w:p>
    <w:p w14:paraId="48883B36" w14:textId="50912644" w:rsidR="00F9238E" w:rsidRDefault="00F9238E" w:rsidP="00902656">
      <w:pPr>
        <w:widowControl w:val="0"/>
        <w:autoSpaceDE w:val="0"/>
        <w:autoSpaceDN w:val="0"/>
        <w:spacing w:before="89" w:after="0" w:line="242" w:lineRule="auto"/>
        <w:ind w:right="-143" w:firstLine="709"/>
        <w:jc w:val="center"/>
        <w:rPr>
          <w:rFonts w:ascii="Times New Roman" w:eastAsia="Times New Roman" w:hAnsi="Times New Roman" w:cs="Times New Roman"/>
          <w:b/>
          <w:i/>
          <w:color w:val="833B0A"/>
          <w:spacing w:val="1"/>
          <w:sz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 xml:space="preserve">Детальна інформація щодо вивчення курсу </w:t>
      </w:r>
      <w:r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14496D"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Зовнішньоекономічна діяльність</w:t>
      </w:r>
      <w:r w:rsidRPr="00FA182F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висвітлена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6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у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робочій</w:t>
      </w:r>
      <w:r w:rsidRPr="00F9238E">
        <w:rPr>
          <w:rFonts w:ascii="Times New Roman" w:eastAsia="Times New Roman" w:hAnsi="Times New Roman" w:cs="Times New Roman"/>
          <w:b/>
          <w:i/>
          <w:color w:val="833B0A"/>
          <w:spacing w:val="-4"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програмі</w:t>
      </w:r>
      <w:r w:rsidRPr="00F9238E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навчальної дисципліни</w:t>
      </w:r>
      <w:r w:rsidR="00FA182F">
        <w:rPr>
          <w:rFonts w:ascii="Times New Roman" w:eastAsia="Times New Roman" w:hAnsi="Times New Roman" w:cs="Times New Roman"/>
          <w:b/>
          <w:i/>
          <w:color w:val="833B0A"/>
          <w:sz w:val="28"/>
          <w:lang w:val="uk-UA"/>
        </w:rPr>
        <w:t>:</w:t>
      </w:r>
    </w:p>
    <w:p w14:paraId="0B1349EF" w14:textId="719945FB" w:rsidR="00902656" w:rsidRPr="00F9238E" w:rsidRDefault="00902656" w:rsidP="00902656">
      <w:pPr>
        <w:widowControl w:val="0"/>
        <w:autoSpaceDE w:val="0"/>
        <w:autoSpaceDN w:val="0"/>
        <w:spacing w:before="89" w:after="0" w:line="242" w:lineRule="auto"/>
        <w:ind w:right="-143" w:firstLine="709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902656">
        <w:rPr>
          <w:rFonts w:ascii="Times New Roman" w:eastAsia="Times New Roman" w:hAnsi="Times New Roman" w:cs="Times New Roman"/>
          <w:b/>
          <w:i/>
          <w:sz w:val="28"/>
          <w:lang w:val="uk-UA"/>
        </w:rPr>
        <w:t>https://bup.chnu.edu.ua/studentu/robochi-prohramy/robochi-prohramy-2025/osvitnii-riven-bakalavr/</w:t>
      </w:r>
    </w:p>
    <w:sectPr w:rsidR="00902656" w:rsidRPr="00F9238E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93"/>
    <w:rsid w:val="0001295E"/>
    <w:rsid w:val="000543DF"/>
    <w:rsid w:val="00067FD7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350731"/>
    <w:rsid w:val="003657E6"/>
    <w:rsid w:val="003660D0"/>
    <w:rsid w:val="003858A9"/>
    <w:rsid w:val="00447B63"/>
    <w:rsid w:val="0046779A"/>
    <w:rsid w:val="00475D51"/>
    <w:rsid w:val="0054457A"/>
    <w:rsid w:val="00560EE8"/>
    <w:rsid w:val="00594798"/>
    <w:rsid w:val="005A2756"/>
    <w:rsid w:val="006042E0"/>
    <w:rsid w:val="00612549"/>
    <w:rsid w:val="00646D78"/>
    <w:rsid w:val="00663185"/>
    <w:rsid w:val="006D23C7"/>
    <w:rsid w:val="0074516E"/>
    <w:rsid w:val="0074549F"/>
    <w:rsid w:val="00763DF1"/>
    <w:rsid w:val="00807DB7"/>
    <w:rsid w:val="008234A4"/>
    <w:rsid w:val="00887095"/>
    <w:rsid w:val="008B1862"/>
    <w:rsid w:val="00902656"/>
    <w:rsid w:val="0090717D"/>
    <w:rsid w:val="00917C31"/>
    <w:rsid w:val="0095575B"/>
    <w:rsid w:val="00965B7B"/>
    <w:rsid w:val="0097166D"/>
    <w:rsid w:val="00975F70"/>
    <w:rsid w:val="009C0F9A"/>
    <w:rsid w:val="00A01077"/>
    <w:rsid w:val="00A15B3A"/>
    <w:rsid w:val="00A32093"/>
    <w:rsid w:val="00A41C66"/>
    <w:rsid w:val="00A44838"/>
    <w:rsid w:val="00B53F6C"/>
    <w:rsid w:val="00B565BE"/>
    <w:rsid w:val="00B94965"/>
    <w:rsid w:val="00C06D82"/>
    <w:rsid w:val="00CB1541"/>
    <w:rsid w:val="00CC6FED"/>
    <w:rsid w:val="00CE47A5"/>
    <w:rsid w:val="00E232FF"/>
    <w:rsid w:val="00E47FCF"/>
    <w:rsid w:val="00EA5CB0"/>
    <w:rsid w:val="00EF1A10"/>
    <w:rsid w:val="00F34737"/>
    <w:rsid w:val="00F65925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F89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aliases w:val="основний,Основний"/>
    <w:basedOn w:val="a"/>
    <w:link w:val="a5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EA5CB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35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c.info/persons/gavrylyuk-oksana-volodymyrivna/" TargetMode="External"/><Relationship Id="rId12" Type="http://schemas.openxmlformats.org/officeDocument/2006/relationships/hyperlink" Target="http://www.ukrsta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lnojdab4/pravyla-akademichnoi-dobrochesnos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80D8-8946-495C-BCC2-05599DE3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5106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Зоряна Кобеля</cp:lastModifiedBy>
  <cp:revision>4</cp:revision>
  <dcterms:created xsi:type="dcterms:W3CDTF">2025-10-25T15:46:00Z</dcterms:created>
  <dcterms:modified xsi:type="dcterms:W3CDTF">2025-11-12T09:44:00Z</dcterms:modified>
</cp:coreProperties>
</file>