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283"/>
        <w:gridCol w:w="7655"/>
      </w:tblGrid>
      <w:tr w14:paraId="296B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vMerge w:val="restart"/>
            <w:vAlign w:val="center"/>
          </w:tcPr>
          <w:p w14:paraId="31623220">
            <w:pPr>
              <w:widowControl w:val="0"/>
              <w:spacing w:after="0" w:line="240" w:lineRule="auto"/>
              <w:rPr>
                <w:rFonts w:ascii="Times New Roman" w:hAnsi="Times New Roman" w:cs="Times New Roman"/>
                <w:sz w:val="28"/>
                <w:szCs w:val="28"/>
              </w:rPr>
            </w:pPr>
            <w:r>
              <w:rPr>
                <w:b/>
                <w:color w:val="843C0B"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016000"/>
                          </a:xfrm>
                          <a:prstGeom prst="rect">
                            <a:avLst/>
                          </a:prstGeom>
                          <a:noFill/>
                          <a:ln>
                            <a:noFill/>
                          </a:ln>
                        </pic:spPr>
                      </pic:pic>
                    </a:graphicData>
                  </a:graphic>
                </wp:anchor>
              </w:drawing>
            </w:r>
          </w:p>
        </w:tc>
        <w:tc>
          <w:tcPr>
            <w:tcW w:w="283" w:type="dxa"/>
            <w:vAlign w:val="center"/>
          </w:tcPr>
          <w:p w14:paraId="4AF72FF8">
            <w:pPr>
              <w:widowControl w:val="0"/>
              <w:spacing w:after="0" w:line="240" w:lineRule="auto"/>
              <w:jc w:val="both"/>
              <w:rPr>
                <w:rFonts w:ascii="Times New Roman" w:hAnsi="Times New Roman" w:cs="Times New Roman"/>
                <w:sz w:val="28"/>
                <w:szCs w:val="28"/>
              </w:rPr>
            </w:pPr>
          </w:p>
        </w:tc>
        <w:tc>
          <w:tcPr>
            <w:tcW w:w="7655" w:type="dxa"/>
            <w:vAlign w:val="center"/>
          </w:tcPr>
          <w:p w14:paraId="49A6CF99">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Силабус навчальної дисципліни</w:t>
            </w:r>
          </w:p>
        </w:tc>
      </w:tr>
      <w:tr w14:paraId="4E1A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vMerge w:val="continue"/>
            <w:vAlign w:val="center"/>
          </w:tcPr>
          <w:p w14:paraId="23B9E718">
            <w:pPr>
              <w:widowControl w:val="0"/>
              <w:spacing w:after="0" w:line="240" w:lineRule="auto"/>
              <w:jc w:val="both"/>
              <w:rPr>
                <w:rFonts w:ascii="Times New Roman" w:hAnsi="Times New Roman" w:cs="Times New Roman"/>
                <w:sz w:val="28"/>
                <w:szCs w:val="28"/>
              </w:rPr>
            </w:pPr>
          </w:p>
        </w:tc>
        <w:tc>
          <w:tcPr>
            <w:tcW w:w="283" w:type="dxa"/>
            <w:vAlign w:val="center"/>
          </w:tcPr>
          <w:p w14:paraId="4424BF7C">
            <w:pPr>
              <w:widowControl w:val="0"/>
              <w:spacing w:after="0" w:line="240" w:lineRule="auto"/>
              <w:jc w:val="both"/>
              <w:rPr>
                <w:rFonts w:ascii="Times New Roman" w:hAnsi="Times New Roman" w:cs="Times New Roman"/>
                <w:sz w:val="28"/>
                <w:szCs w:val="28"/>
              </w:rPr>
            </w:pPr>
          </w:p>
        </w:tc>
        <w:tc>
          <w:tcPr>
            <w:tcW w:w="7655" w:type="dxa"/>
            <w:vAlign w:val="center"/>
          </w:tcPr>
          <w:p w14:paraId="483AF0AF">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«ВНУТРІШНЬОГОСПОДАРСЬКИЙ КОНТРОЛЬ ТА УПРАВЛІННЯ РИЗИКАМИ»</w:t>
            </w:r>
          </w:p>
        </w:tc>
      </w:tr>
      <w:tr w14:paraId="7F91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1701" w:type="dxa"/>
            <w:vMerge w:val="continue"/>
            <w:vAlign w:val="center"/>
          </w:tcPr>
          <w:p w14:paraId="60B84995">
            <w:pPr>
              <w:widowControl w:val="0"/>
              <w:spacing w:after="0" w:line="240" w:lineRule="auto"/>
              <w:jc w:val="both"/>
              <w:rPr>
                <w:rFonts w:ascii="Times New Roman" w:hAnsi="Times New Roman" w:cs="Times New Roman"/>
                <w:sz w:val="28"/>
                <w:szCs w:val="28"/>
              </w:rPr>
            </w:pPr>
          </w:p>
        </w:tc>
        <w:tc>
          <w:tcPr>
            <w:tcW w:w="283" w:type="dxa"/>
            <w:vAlign w:val="center"/>
          </w:tcPr>
          <w:p w14:paraId="7BEFF44D">
            <w:pPr>
              <w:widowControl w:val="0"/>
              <w:spacing w:after="0" w:line="240" w:lineRule="auto"/>
              <w:jc w:val="both"/>
              <w:rPr>
                <w:rFonts w:ascii="Times New Roman" w:hAnsi="Times New Roman" w:cs="Times New Roman"/>
                <w:sz w:val="28"/>
                <w:szCs w:val="28"/>
              </w:rPr>
            </w:pPr>
          </w:p>
        </w:tc>
        <w:tc>
          <w:tcPr>
            <w:tcW w:w="7655" w:type="dxa"/>
            <w:vAlign w:val="center"/>
          </w:tcPr>
          <w:p w14:paraId="79877E53">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Компонента освітньої програми – обов’язкова (5 кредитів)</w:t>
            </w:r>
          </w:p>
        </w:tc>
      </w:tr>
    </w:tbl>
    <w:p w14:paraId="16263909">
      <w:pPr>
        <w:widowControl w:val="0"/>
        <w:spacing w:after="0" w:line="240" w:lineRule="auto"/>
        <w:jc w:val="both"/>
        <w:rPr>
          <w:rFonts w:ascii="Times New Roman" w:hAnsi="Times New Roman" w:cs="Times New Roman"/>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14:paraId="379F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0BCF6DA6">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Освітньо-професійна програма </w:t>
            </w:r>
          </w:p>
        </w:tc>
        <w:tc>
          <w:tcPr>
            <w:tcW w:w="4815" w:type="dxa"/>
            <w:vAlign w:val="center"/>
          </w:tcPr>
          <w:p w14:paraId="5632914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Облік і оподаткування </w:t>
            </w:r>
          </w:p>
        </w:tc>
      </w:tr>
      <w:tr w14:paraId="46B2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6282F6DB">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Спеціальність </w:t>
            </w:r>
          </w:p>
        </w:tc>
        <w:tc>
          <w:tcPr>
            <w:tcW w:w="4815" w:type="dxa"/>
            <w:vAlign w:val="center"/>
          </w:tcPr>
          <w:p w14:paraId="21A25EC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071 «Облік і оподаткування»</w:t>
            </w:r>
          </w:p>
        </w:tc>
      </w:tr>
      <w:tr w14:paraId="422B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065DFC03">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Галузь знань </w:t>
            </w:r>
          </w:p>
        </w:tc>
        <w:tc>
          <w:tcPr>
            <w:tcW w:w="4815" w:type="dxa"/>
            <w:vAlign w:val="center"/>
          </w:tcPr>
          <w:p w14:paraId="72F14DF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 «Управління та адміністрування»</w:t>
            </w:r>
          </w:p>
        </w:tc>
      </w:tr>
      <w:tr w14:paraId="7E9E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0F8195D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Рівень вищої освіти </w:t>
            </w:r>
          </w:p>
        </w:tc>
        <w:tc>
          <w:tcPr>
            <w:tcW w:w="4815" w:type="dxa"/>
            <w:vAlign w:val="center"/>
          </w:tcPr>
          <w:p w14:paraId="4256B2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перший (бакалаврський)</w:t>
            </w:r>
          </w:p>
        </w:tc>
      </w:tr>
      <w:tr w14:paraId="219A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27D08FE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Мова навчання </w:t>
            </w:r>
          </w:p>
        </w:tc>
        <w:tc>
          <w:tcPr>
            <w:tcW w:w="4815" w:type="dxa"/>
            <w:vAlign w:val="center"/>
          </w:tcPr>
          <w:p w14:paraId="18C7322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українська</w:t>
            </w:r>
          </w:p>
        </w:tc>
      </w:tr>
      <w:tr w14:paraId="1A59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146A336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Профайл викладача </w:t>
            </w:r>
          </w:p>
        </w:tc>
        <w:tc>
          <w:tcPr>
            <w:tcW w:w="4815" w:type="dxa"/>
            <w:vAlign w:val="center"/>
          </w:tcPr>
          <w:p w14:paraId="4E49685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Танасієва Марина Миколаївна – кандидат економічний наук, доцент, асистент кафедри обліку, аналізу і аудиту </w:t>
            </w:r>
          </w:p>
          <w:p w14:paraId="4CE33E4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"https://accounting.chnu.edu.ua/pro-nas/kolektyv/tanasiieva-maryna-mykolaivna/" </w:instrText>
            </w:r>
            <w:r>
              <w:rPr>
                <w:rFonts w:ascii="Times New Roman" w:hAnsi="Times New Roman" w:cs="Times New Roman"/>
                <w:sz w:val="24"/>
                <w:szCs w:val="24"/>
              </w:rPr>
              <w:fldChar w:fldCharType="separate"/>
            </w:r>
            <w:r>
              <w:rPr>
                <w:rStyle w:val="5"/>
                <w:rFonts w:ascii="Times New Roman" w:hAnsi="Times New Roman" w:cs="Times New Roman"/>
                <w:sz w:val="24"/>
                <w:szCs w:val="24"/>
              </w:rPr>
              <w:t>https://accounting.chnu.edu.ua/pro-nas/kolektyv/tanasiieva-maryna-mykolaivna/</w:t>
            </w:r>
            <w:r>
              <w:rPr>
                <w:rFonts w:ascii="Times New Roman" w:hAnsi="Times New Roman" w:cs="Times New Roman"/>
                <w:sz w:val="24"/>
                <w:szCs w:val="24"/>
              </w:rPr>
              <w:fldChar w:fldCharType="end"/>
            </w:r>
          </w:p>
        </w:tc>
      </w:tr>
      <w:tr w14:paraId="5A88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269F0D0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Контактний телефон</w:t>
            </w:r>
          </w:p>
        </w:tc>
        <w:tc>
          <w:tcPr>
            <w:tcW w:w="4815" w:type="dxa"/>
            <w:vAlign w:val="center"/>
          </w:tcPr>
          <w:p w14:paraId="7DA8B496">
            <w:pPr>
              <w:widowControl w:val="0"/>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+38(050)9669932</w:t>
            </w:r>
          </w:p>
        </w:tc>
      </w:tr>
      <w:tr w14:paraId="199C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5FEB0B3A">
            <w:pPr>
              <w:widowControl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E-mail </w:t>
            </w:r>
          </w:p>
        </w:tc>
        <w:tc>
          <w:tcPr>
            <w:tcW w:w="4815" w:type="dxa"/>
            <w:vAlign w:val="center"/>
          </w:tcPr>
          <w:p w14:paraId="2B0FDAE3">
            <w:pPr>
              <w:widowControl w:val="0"/>
              <w:spacing w:after="0" w:line="240" w:lineRule="auto"/>
              <w:jc w:val="both"/>
              <w:rPr>
                <w:rFonts w:ascii="Times New Roman" w:hAnsi="Times New Roman" w:cs="Times New Roman"/>
                <w:sz w:val="24"/>
                <w:szCs w:val="24"/>
              </w:rPr>
            </w:pPr>
            <w:r>
              <w:fldChar w:fldCharType="begin"/>
            </w:r>
            <w:r>
              <w:instrText xml:space="preserve"> HYPERLINK "mailto:m.tanasiyeva@chnu.edu.ua" </w:instrText>
            </w:r>
            <w:r>
              <w:fldChar w:fldCharType="separate"/>
            </w:r>
            <w:r>
              <w:rPr>
                <w:rStyle w:val="5"/>
                <w:rFonts w:ascii="Times New Roman" w:hAnsi="Times New Roman" w:eastAsia="Times New Roman" w:cs="Times New Roman"/>
                <w:sz w:val="24"/>
                <w:szCs w:val="24"/>
                <w:lang w:val="en-US"/>
              </w:rPr>
              <w:t>m.tanasiyeva</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chnu</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edu</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ua</w:t>
            </w:r>
            <w:r>
              <w:rPr>
                <w:rStyle w:val="5"/>
                <w:rFonts w:ascii="Times New Roman" w:hAnsi="Times New Roman" w:eastAsia="Times New Roman" w:cs="Times New Roman"/>
                <w:sz w:val="24"/>
                <w:szCs w:val="24"/>
                <w:lang w:val="en-US"/>
              </w:rPr>
              <w:fldChar w:fldCharType="end"/>
            </w:r>
            <w:r>
              <w:rPr>
                <w:rFonts w:ascii="Times New Roman" w:hAnsi="Times New Roman" w:eastAsia="Times New Roman" w:cs="Times New Roman"/>
                <w:sz w:val="24"/>
                <w:szCs w:val="24"/>
                <w:lang w:val="en-US"/>
              </w:rPr>
              <w:t xml:space="preserve">  </w:t>
            </w:r>
          </w:p>
        </w:tc>
      </w:tr>
      <w:tr w14:paraId="6618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3246F547">
            <w:pPr>
              <w:widowControl w:val="0"/>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rPr>
              <w:t xml:space="preserve">Сторінка курсу в </w:t>
            </w:r>
            <w:r>
              <w:rPr>
                <w:rFonts w:ascii="Times New Roman" w:hAnsi="Times New Roman" w:cs="Times New Roman"/>
                <w:b/>
                <w:sz w:val="24"/>
                <w:szCs w:val="24"/>
                <w:lang w:val="en-US"/>
              </w:rPr>
              <w:t>Moodle</w:t>
            </w:r>
          </w:p>
        </w:tc>
        <w:tc>
          <w:tcPr>
            <w:tcW w:w="4815" w:type="dxa"/>
            <w:vAlign w:val="center"/>
          </w:tcPr>
          <w:p w14:paraId="2785A528">
            <w:pPr>
              <w:widowControl w:val="0"/>
              <w:spacing w:after="0" w:line="240" w:lineRule="auto"/>
              <w:jc w:val="both"/>
              <w:rPr>
                <w:rFonts w:ascii="Times New Roman" w:hAnsi="Times New Roman" w:cs="Times New Roman"/>
                <w:sz w:val="24"/>
                <w:szCs w:val="24"/>
                <w:lang w:val="ru-RU"/>
              </w:rPr>
            </w:pPr>
            <w:r>
              <w:fldChar w:fldCharType="begin"/>
            </w:r>
            <w:r>
              <w:instrText xml:space="preserve"> HYPERLINK "https://moodle.chnu.edu.ua/course/view.php?id=2917" </w:instrText>
            </w:r>
            <w:r>
              <w:fldChar w:fldCharType="separate"/>
            </w:r>
            <w:r>
              <w:rPr>
                <w:rStyle w:val="5"/>
                <w:rFonts w:ascii="Times New Roman" w:hAnsi="Times New Roman" w:cs="Times New Roman"/>
                <w:sz w:val="24"/>
                <w:szCs w:val="24"/>
              </w:rPr>
              <w:t>https://moodle.chnu.edu.ua/course/view.php?id=2917</w:t>
            </w:r>
            <w:r>
              <w:rPr>
                <w:rStyle w:val="5"/>
                <w:rFonts w:ascii="Times New Roman" w:hAnsi="Times New Roman" w:cs="Times New Roman"/>
                <w:sz w:val="24"/>
                <w:szCs w:val="24"/>
              </w:rPr>
              <w:fldChar w:fldCharType="end"/>
            </w:r>
          </w:p>
        </w:tc>
      </w:tr>
      <w:tr w14:paraId="598D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3D91DC35">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Консультації</w:t>
            </w:r>
          </w:p>
        </w:tc>
        <w:tc>
          <w:tcPr>
            <w:tcW w:w="4815" w:type="dxa"/>
            <w:vAlign w:val="center"/>
          </w:tcPr>
          <w:p w14:paraId="739BA85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Згідно графіку</w:t>
            </w:r>
          </w:p>
        </w:tc>
      </w:tr>
    </w:tbl>
    <w:p w14:paraId="22B6A7AF">
      <w:pPr>
        <w:widowControl w:val="0"/>
        <w:spacing w:after="0" w:line="240" w:lineRule="auto"/>
        <w:jc w:val="both"/>
        <w:rPr>
          <w:rFonts w:ascii="Times New Roman" w:hAnsi="Times New Roman" w:cs="Times New Roman"/>
          <w:sz w:val="28"/>
          <w:szCs w:val="28"/>
        </w:rPr>
      </w:pPr>
    </w:p>
    <w:p w14:paraId="0F3FFC84">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Анотація навчальної дисципліни</w:t>
      </w:r>
    </w:p>
    <w:p w14:paraId="2657D4C3">
      <w:pPr>
        <w:pStyle w:val="10"/>
        <w:ind w:firstLine="709"/>
        <w:jc w:val="both"/>
        <w:rPr>
          <w:sz w:val="28"/>
          <w:szCs w:val="28"/>
          <w:lang w:val="uk-UA"/>
        </w:rPr>
      </w:pPr>
      <w:r>
        <w:rPr>
          <w:sz w:val="28"/>
          <w:szCs w:val="28"/>
          <w:lang w:val="uk-UA"/>
        </w:rPr>
        <w:t xml:space="preserve">Сучасні інтеграційні процеси та кризові умови зовнішнього середовища, в якому функціонують суб’єкти господарювання усіх форм власності зумовлюють появу підприємницьких ризиків та потребу вироблення ефективної системи управління. Важливу роль в удосконаленні ієрархічної системи управління відводять внутрішньогосподарському контролю (ВГК), як первинному виду контролю, який організовується і проводиться в середині підприємства. Головне призначення ВГК полягає в забезпеченні своєчасною релевантною інформацією керівництва підприємства про виявлення та оцінку ризиків підприємства, а також попередження відхилень, помилок і шахрайства, усунення їх причин. Тому, належно організований внутрішньогосподарський контроль, який водночас потребує ґрунтовних знань у сфері бухгалтерського обліку, як основного інформаційного джерела підтримки управлінських рішень, дасть змогу налагодити взаємозв’язок функцій управління різних рівнів підприємства. </w:t>
      </w:r>
    </w:p>
    <w:p w14:paraId="2E7C4EFD">
      <w:pPr>
        <w:pStyle w:val="11"/>
        <w:ind w:left="0" w:firstLine="709"/>
        <w:jc w:val="both"/>
        <w:rPr>
          <w:sz w:val="28"/>
          <w:szCs w:val="28"/>
        </w:rPr>
      </w:pPr>
      <w:r>
        <w:rPr>
          <w:sz w:val="28"/>
          <w:szCs w:val="28"/>
        </w:rPr>
        <w:t>Призначення навчальної дисципліни «Внутрішньогосподарський контроль та управління ризиками» полягає у вивченні основних засад функціонування системи внутрішньогосподарського контролю та ефективного управління ризиками підприємства. Дисципліна належить до циклу професійної підготовки обов’язкових компонент освітньої програми «Облік і оподаткування» першого бакалаврського рівня галузі знань 07 «Управління та адміністрування».</w:t>
      </w:r>
    </w:p>
    <w:p w14:paraId="4EEB2F14">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Мета навчальної дисципліни (Внутрішньогосподарський контроль та управління ризиками):</w:t>
      </w:r>
      <w:r>
        <w:rPr>
          <w:rFonts w:ascii="Times New Roman" w:hAnsi="Times New Roman" w:cs="Times New Roman"/>
          <w:b/>
          <w:sz w:val="28"/>
          <w:szCs w:val="28"/>
        </w:rPr>
        <w:t xml:space="preserve"> </w:t>
      </w:r>
      <w:r>
        <w:rPr>
          <w:rFonts w:ascii="Times New Roman" w:hAnsi="Times New Roman" w:cs="Times New Roman"/>
          <w:sz w:val="28"/>
          <w:szCs w:val="28"/>
        </w:rPr>
        <w:t>оволодіння базовими теоретичними знаннями та набуття практичних навиків щодо організації та здійснення внутрішньогосподарського контролю, процесу управління ризиками та їх вплив на ефективність господарської діяльності на підприємствах різних форм власності та господарювання.</w:t>
      </w:r>
    </w:p>
    <w:p w14:paraId="3C9536E6">
      <w:pPr>
        <w:widowControl w:val="0"/>
        <w:spacing w:after="0" w:line="240" w:lineRule="auto"/>
        <w:ind w:firstLine="567"/>
        <w:jc w:val="both"/>
        <w:rPr>
          <w:rFonts w:ascii="Times New Roman" w:hAnsi="Times New Roman" w:cs="Times New Roman"/>
          <w:sz w:val="28"/>
          <w:szCs w:val="28"/>
        </w:rPr>
      </w:pPr>
    </w:p>
    <w:p w14:paraId="469D9F4E">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Навчальний контент освітньої компоненти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14:paraId="77DB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vAlign w:val="center"/>
          </w:tcPr>
          <w:p w14:paraId="1643A532">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1. </w:t>
            </w:r>
            <w:r>
              <w:rPr>
                <w:rFonts w:ascii="Times New Roman" w:hAnsi="Times New Roman" w:cs="Times New Roman"/>
                <w:b/>
                <w:bCs/>
                <w:sz w:val="24"/>
                <w:szCs w:val="24"/>
              </w:rPr>
              <w:t>ТЕОРЕТИКО-МЕТОДОЛОГІЧНІ ТА ОРГАНІЗАЦІЙНІ ЗАСАДИ ВНУТРІШНЬОГОСПОДАРСЬКОГО КОНТРОЛЮ</w:t>
            </w:r>
          </w:p>
        </w:tc>
      </w:tr>
      <w:tr w14:paraId="48BF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08FDFEE3">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1</w:t>
            </w:r>
          </w:p>
        </w:tc>
        <w:tc>
          <w:tcPr>
            <w:tcW w:w="8216" w:type="dxa"/>
          </w:tcPr>
          <w:p w14:paraId="64E61D96">
            <w:pPr>
              <w:widowControl w:val="0"/>
              <w:spacing w:after="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Роль, значення та суть внутрішнього контролю, його форми та види</w:t>
            </w:r>
          </w:p>
        </w:tc>
      </w:tr>
      <w:tr w14:paraId="4D39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649192E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2</w:t>
            </w:r>
          </w:p>
        </w:tc>
        <w:tc>
          <w:tcPr>
            <w:tcW w:w="8216" w:type="dxa"/>
          </w:tcPr>
          <w:p w14:paraId="1DB946A5">
            <w:pPr>
              <w:widowControl w:val="0"/>
              <w:spacing w:after="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Основні категорії, система методів і прийомів внутрішньогосподарського контролю</w:t>
            </w:r>
          </w:p>
        </w:tc>
      </w:tr>
      <w:tr w14:paraId="30F8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A4EF1E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3</w:t>
            </w:r>
          </w:p>
        </w:tc>
        <w:tc>
          <w:tcPr>
            <w:tcW w:w="8216" w:type="dxa"/>
          </w:tcPr>
          <w:p w14:paraId="4CF8CF0A">
            <w:pPr>
              <w:widowControl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Сучасна концепція та оцінка системи внутрішньогосподарського контролю</w:t>
            </w:r>
          </w:p>
        </w:tc>
      </w:tr>
      <w:tr w14:paraId="6EA2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7F83FC4">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4</w:t>
            </w:r>
          </w:p>
        </w:tc>
        <w:tc>
          <w:tcPr>
            <w:tcW w:w="8216" w:type="dxa"/>
          </w:tcPr>
          <w:p w14:paraId="0D609A1F">
            <w:pPr>
              <w:widowControl w:val="0"/>
              <w:spacing w:after="0" w:line="240" w:lineRule="auto"/>
              <w:jc w:val="both"/>
              <w:rPr>
                <w:rFonts w:ascii="Times New Roman" w:hAnsi="Times New Roman" w:eastAsia="Times New Roman" w:cs="Times New Roman"/>
                <w:bCs/>
                <w:sz w:val="24"/>
                <w:szCs w:val="24"/>
              </w:rPr>
            </w:pPr>
            <w:r>
              <w:rPr>
                <w:rFonts w:ascii="Times New Roman" w:hAnsi="Times New Roman" w:cs="Times New Roman"/>
                <w:sz w:val="24"/>
                <w:szCs w:val="24"/>
              </w:rPr>
              <w:t>Внутрішньогосподарський контроль власного капіталу, грошових коштів та фінансових інвестицій</w:t>
            </w:r>
          </w:p>
        </w:tc>
      </w:tr>
      <w:tr w14:paraId="7F21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C13D9B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5</w:t>
            </w:r>
          </w:p>
        </w:tc>
        <w:tc>
          <w:tcPr>
            <w:tcW w:w="8216" w:type="dxa"/>
          </w:tcPr>
          <w:p w14:paraId="359C0967">
            <w:pPr>
              <w:widowControl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Внутрішньогосподарський контроль довгострокових та поточних активів</w:t>
            </w:r>
          </w:p>
        </w:tc>
      </w:tr>
      <w:tr w14:paraId="07EC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6540ACC">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6</w:t>
            </w:r>
          </w:p>
        </w:tc>
        <w:tc>
          <w:tcPr>
            <w:tcW w:w="8216" w:type="dxa"/>
          </w:tcPr>
          <w:p w14:paraId="75C6B143">
            <w:pPr>
              <w:widowControl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Внутрішньогосподарський контроль дебіторської заборгованості, зобов’язань, доходів, витрат та фінансових результатів</w:t>
            </w:r>
          </w:p>
        </w:tc>
      </w:tr>
      <w:tr w14:paraId="2672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F25441E">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7</w:t>
            </w:r>
          </w:p>
        </w:tc>
        <w:tc>
          <w:tcPr>
            <w:tcW w:w="8216" w:type="dxa"/>
          </w:tcPr>
          <w:p w14:paraId="2A335315">
            <w:pPr>
              <w:widowControl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Внутрішньогосподарський контроль природоохоронної діяльності та концепція сталого розвитку</w:t>
            </w:r>
          </w:p>
        </w:tc>
      </w:tr>
      <w:tr w14:paraId="0B02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vAlign w:val="center"/>
          </w:tcPr>
          <w:p w14:paraId="550A93E7">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2. </w:t>
            </w:r>
            <w:r>
              <w:rPr>
                <w:rFonts w:ascii="Times New Roman" w:hAnsi="Times New Roman" w:cs="Times New Roman"/>
                <w:b/>
                <w:bCs/>
                <w:sz w:val="24"/>
                <w:szCs w:val="24"/>
              </w:rPr>
              <w:t>УПРАВЛІННЯ РИЗИКАМИ, ЯК СКЛАДОВОЇ СИСТЕМИ ВНУТРІШНЬОГОСПОДАРСЬКОГО КОНТРОЛЮ</w:t>
            </w:r>
          </w:p>
        </w:tc>
      </w:tr>
      <w:tr w14:paraId="2B07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3EBD53A4">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8</w:t>
            </w:r>
          </w:p>
        </w:tc>
        <w:tc>
          <w:tcPr>
            <w:tcW w:w="8216" w:type="dxa"/>
          </w:tcPr>
          <w:p w14:paraId="2C985EF6">
            <w:pPr>
              <w:widowControl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Ризик як об’єкт управління.</w:t>
            </w:r>
          </w:p>
        </w:tc>
      </w:tr>
      <w:tr w14:paraId="346E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A510B5E">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9</w:t>
            </w:r>
          </w:p>
        </w:tc>
        <w:tc>
          <w:tcPr>
            <w:tcW w:w="8216" w:type="dxa"/>
          </w:tcPr>
          <w:p w14:paraId="166E9D82">
            <w:pPr>
              <w:widowControl w:val="0"/>
              <w:spacing w:after="0" w:line="240" w:lineRule="auto"/>
              <w:jc w:val="both"/>
              <w:rPr>
                <w:rFonts w:ascii="Times New Roman" w:hAnsi="Times New Roman" w:eastAsia="Times New Roman" w:cs="Times New Roman"/>
                <w:bCs/>
                <w:sz w:val="24"/>
                <w:szCs w:val="24"/>
              </w:rPr>
            </w:pPr>
            <w:r>
              <w:rPr>
                <w:rFonts w:ascii="Times New Roman" w:hAnsi="Times New Roman" w:cs="Times New Roman"/>
                <w:sz w:val="24"/>
                <w:szCs w:val="24"/>
              </w:rPr>
              <w:t>Оцінка та ідентифікація ризиків.</w:t>
            </w:r>
          </w:p>
        </w:tc>
      </w:tr>
      <w:tr w14:paraId="1CE5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2B9BA9BC">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10</w:t>
            </w:r>
          </w:p>
        </w:tc>
        <w:tc>
          <w:tcPr>
            <w:tcW w:w="8216" w:type="dxa"/>
          </w:tcPr>
          <w:p w14:paraId="2D5AD864">
            <w:pPr>
              <w:widowControl w:val="0"/>
              <w:spacing w:after="0" w:line="240" w:lineRule="auto"/>
              <w:jc w:val="both"/>
              <w:rPr>
                <w:rFonts w:ascii="Times New Roman" w:hAnsi="Times New Roman" w:eastAsia="Times New Roman" w:cs="Times New Roman"/>
                <w:bCs/>
                <w:sz w:val="24"/>
                <w:szCs w:val="24"/>
              </w:rPr>
            </w:pPr>
            <w:r>
              <w:rPr>
                <w:rFonts w:ascii="Times New Roman" w:hAnsi="Times New Roman" w:cs="Times New Roman"/>
                <w:sz w:val="24"/>
                <w:szCs w:val="24"/>
              </w:rPr>
              <w:t>Методичні засади аналізу ризиків підприємства.</w:t>
            </w:r>
          </w:p>
        </w:tc>
      </w:tr>
      <w:tr w14:paraId="3238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42F907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11</w:t>
            </w:r>
          </w:p>
        </w:tc>
        <w:tc>
          <w:tcPr>
            <w:tcW w:w="8216" w:type="dxa"/>
          </w:tcPr>
          <w:p w14:paraId="297ADCFC">
            <w:pPr>
              <w:widowControl w:val="0"/>
              <w:spacing w:after="0" w:line="240" w:lineRule="auto"/>
              <w:jc w:val="both"/>
              <w:rPr>
                <w:rFonts w:ascii="Times New Roman" w:hAnsi="Times New Roman" w:eastAsia="Times New Roman" w:cs="Times New Roman"/>
                <w:bCs/>
                <w:sz w:val="24"/>
                <w:szCs w:val="24"/>
              </w:rPr>
            </w:pPr>
            <w:r>
              <w:rPr>
                <w:rFonts w:ascii="Times New Roman" w:hAnsi="Times New Roman" w:cs="Times New Roman"/>
                <w:sz w:val="24"/>
                <w:szCs w:val="24"/>
              </w:rPr>
              <w:t>Підходи та методи управління ризиками.</w:t>
            </w:r>
          </w:p>
        </w:tc>
      </w:tr>
      <w:tr w14:paraId="3548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4208D34">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12</w:t>
            </w:r>
          </w:p>
        </w:tc>
        <w:tc>
          <w:tcPr>
            <w:tcW w:w="8216" w:type="dxa"/>
          </w:tcPr>
          <w:p w14:paraId="61A89951">
            <w:pPr>
              <w:widowControl w:val="0"/>
              <w:spacing w:after="0" w:line="240" w:lineRule="auto"/>
              <w:jc w:val="both"/>
              <w:rPr>
                <w:rFonts w:ascii="Times New Roman" w:hAnsi="Times New Roman" w:eastAsia="Times New Roman" w:cs="Times New Roman"/>
                <w:bCs/>
                <w:sz w:val="24"/>
                <w:szCs w:val="24"/>
              </w:rPr>
            </w:pPr>
            <w:r>
              <w:rPr>
                <w:rFonts w:ascii="Times New Roman" w:hAnsi="Times New Roman" w:cs="Times New Roman"/>
                <w:sz w:val="24"/>
                <w:szCs w:val="24"/>
              </w:rPr>
              <w:t>Оцінка функціонування системи управління ризиками.</w:t>
            </w:r>
          </w:p>
        </w:tc>
      </w:tr>
    </w:tbl>
    <w:p w14:paraId="11ECD245">
      <w:pPr>
        <w:widowControl w:val="0"/>
        <w:spacing w:after="0" w:line="240" w:lineRule="auto"/>
        <w:jc w:val="both"/>
        <w:rPr>
          <w:rFonts w:ascii="Times New Roman" w:hAnsi="Times New Roman" w:cs="Times New Roman"/>
          <w:sz w:val="28"/>
          <w:szCs w:val="28"/>
        </w:rPr>
      </w:pPr>
    </w:p>
    <w:p w14:paraId="3C171152">
      <w:pPr>
        <w:pStyle w:val="10"/>
        <w:jc w:val="center"/>
        <w:rPr>
          <w:rFonts w:asciiTheme="majorBidi" w:hAnsiTheme="majorBidi" w:cstheme="majorBidi"/>
          <w:b/>
          <w:color w:val="auto"/>
          <w:kern w:val="24"/>
          <w:sz w:val="28"/>
          <w:szCs w:val="28"/>
          <w:lang w:val="uk-UA"/>
        </w:rPr>
      </w:pPr>
      <w:r>
        <w:rPr>
          <w:rFonts w:asciiTheme="majorBidi" w:hAnsiTheme="majorBidi" w:cstheme="majorBidi"/>
          <w:b/>
          <w:color w:val="auto"/>
          <w:kern w:val="24"/>
          <w:sz w:val="28"/>
          <w:szCs w:val="28"/>
          <w:lang w:val="uk-UA"/>
        </w:rPr>
        <w:t>ФОРМИ, МЕТОДИ ТА</w:t>
      </w:r>
      <w:r>
        <w:rPr>
          <w:rFonts w:asciiTheme="majorBidi" w:hAnsiTheme="majorBidi" w:cstheme="majorBidi"/>
          <w:b/>
          <w:color w:val="auto"/>
          <w:kern w:val="24"/>
          <w:sz w:val="28"/>
          <w:szCs w:val="28"/>
        </w:rPr>
        <w:t xml:space="preserve"> ОСВІТНІ ТЕХНОЛОГІЇ</w:t>
      </w:r>
      <w:r>
        <w:rPr>
          <w:rFonts w:asciiTheme="majorBidi" w:hAnsiTheme="majorBidi" w:cstheme="majorBidi"/>
          <w:b/>
          <w:color w:val="auto"/>
          <w:kern w:val="24"/>
          <w:sz w:val="28"/>
          <w:szCs w:val="28"/>
          <w:lang w:val="uk-UA"/>
        </w:rPr>
        <w:t xml:space="preserve"> </w:t>
      </w:r>
      <w:r>
        <w:rPr>
          <w:rFonts w:asciiTheme="majorBidi" w:hAnsiTheme="majorBidi" w:cstheme="majorBidi"/>
          <w:b/>
          <w:color w:val="auto"/>
          <w:kern w:val="24"/>
          <w:sz w:val="28"/>
          <w:szCs w:val="28"/>
        </w:rPr>
        <w:t>НАВЧАННЯ</w:t>
      </w:r>
    </w:p>
    <w:p w14:paraId="0902DEFA">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процесі вивчення навчальної дисципліни використовуються освітні технології інтенсифікації навчання на основі опорних схем і моделей, модульно-блочного навчання; вербальні методи (лекція, бесіда, пояснення, розповідь та інші); практичні методи (семінари, практичні та ситуаційні завдання);  наочні методи (презентація, демонстрація, ілюстрація); проблемно-пошукові методи; робота з інформаційними ресурсами (нормативними джерелами, навчально-методичною та науковою літературою, інтернет-ресурсами); самостійна робота над індивідуальним завданням за програмою навчальної дисципліни; дистанційне навчання з використанням системи Moodle; і</w:t>
      </w:r>
      <w:r>
        <w:rPr>
          <w:rFonts w:ascii="Times New Roman" w:hAnsi="Times New Roman" w:eastAsia="Malgun Gothic Semilight" w:cs="Times New Roman"/>
          <w:sz w:val="28"/>
          <w:szCs w:val="28"/>
        </w:rPr>
        <w:t>нш</w:t>
      </w:r>
      <w:r>
        <w:rPr>
          <w:rFonts w:ascii="Times New Roman" w:hAnsi="Times New Roman" w:cs="Times New Roman"/>
          <w:sz w:val="28"/>
          <w:szCs w:val="28"/>
        </w:rPr>
        <w:t xml:space="preserve">і </w:t>
      </w:r>
      <w:r>
        <w:rPr>
          <w:rFonts w:ascii="Times New Roman" w:hAnsi="Times New Roman" w:eastAsia="Malgun Gothic Semilight" w:cs="Times New Roman"/>
          <w:sz w:val="28"/>
          <w:szCs w:val="28"/>
        </w:rPr>
        <w:t>методи навчання.</w:t>
      </w:r>
    </w:p>
    <w:p w14:paraId="2E8A8D2D">
      <w:pPr>
        <w:widowControl w:val="0"/>
        <w:spacing w:after="0" w:line="240" w:lineRule="auto"/>
        <w:jc w:val="both"/>
        <w:rPr>
          <w:rFonts w:ascii="Times New Roman" w:hAnsi="Times New Roman" w:cs="Times New Roman"/>
          <w:sz w:val="28"/>
          <w:szCs w:val="28"/>
        </w:rPr>
      </w:pPr>
    </w:p>
    <w:p w14:paraId="39AF4BB4">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Форми й методи контролю та оцінювання</w:t>
      </w:r>
    </w:p>
    <w:p w14:paraId="455D4B19">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Поточний контроль: </w:t>
      </w:r>
      <w:r>
        <w:rPr>
          <w:rFonts w:ascii="Times New Roman" w:hAnsi="Times New Roman" w:eastAsia="Arial Unicode MS" w:cs="Times New Roman"/>
          <w:color w:val="000000"/>
          <w:sz w:val="28"/>
          <w:szCs w:val="28"/>
          <w:lang w:bidi="en-US"/>
        </w:rPr>
        <w:t>фронтальне опитування; індивідуальне опитування; с</w:t>
      </w:r>
      <w:r>
        <w:rPr>
          <w:rFonts w:ascii="Times New Roman" w:hAnsi="Times New Roman" w:eastAsia="Malgun Gothic Semilight" w:cs="Times New Roman"/>
          <w:color w:val="000000"/>
          <w:sz w:val="28"/>
          <w:szCs w:val="28"/>
          <w:lang w:bidi="en-US"/>
        </w:rPr>
        <w:t>тандартизован</w:t>
      </w:r>
      <w:r>
        <w:rPr>
          <w:rFonts w:ascii="Times New Roman" w:hAnsi="Times New Roman" w:eastAsia="Arial Unicode MS" w:cs="Times New Roman"/>
          <w:color w:val="000000"/>
          <w:sz w:val="28"/>
          <w:szCs w:val="28"/>
          <w:lang w:bidi="en-US"/>
        </w:rPr>
        <w:t xml:space="preserve">і </w:t>
      </w:r>
      <w:r>
        <w:rPr>
          <w:rFonts w:ascii="Times New Roman" w:hAnsi="Times New Roman" w:eastAsia="Malgun Gothic Semilight" w:cs="Times New Roman"/>
          <w:color w:val="000000"/>
          <w:sz w:val="28"/>
          <w:szCs w:val="28"/>
          <w:lang w:bidi="en-US"/>
        </w:rPr>
        <w:t>тести</w:t>
      </w:r>
      <w:r>
        <w:rPr>
          <w:rFonts w:ascii="Times New Roman" w:hAnsi="Times New Roman" w:eastAsia="Arial Unicode MS" w:cs="Times New Roman"/>
          <w:color w:val="000000"/>
          <w:sz w:val="28"/>
          <w:szCs w:val="28"/>
          <w:lang w:bidi="en-US"/>
        </w:rPr>
        <w:t xml:space="preserve">; розв’язування практичних ситуацій; тематичні контрольні роботи; презентація результатів виконання індивідуальних та командних завдань (наукових, розрахункових, аналітичних та інших); виступи та </w:t>
      </w:r>
      <w:r>
        <w:rPr>
          <w:rFonts w:ascii="Times New Roman" w:hAnsi="Times New Roman" w:eastAsia="Malgun Gothic Semilight" w:cs="Times New Roman"/>
          <w:color w:val="000000"/>
          <w:sz w:val="28"/>
          <w:szCs w:val="28"/>
          <w:lang w:bidi="en-US"/>
        </w:rPr>
        <w:t>презентац</w:t>
      </w:r>
      <w:r>
        <w:rPr>
          <w:rFonts w:ascii="Times New Roman" w:hAnsi="Times New Roman" w:eastAsia="Arial Unicode MS" w:cs="Times New Roman"/>
          <w:color w:val="000000"/>
          <w:sz w:val="28"/>
          <w:szCs w:val="28"/>
          <w:lang w:bidi="en-US"/>
        </w:rPr>
        <w:t xml:space="preserve">ії здобувачів </w:t>
      </w:r>
      <w:r>
        <w:rPr>
          <w:rFonts w:ascii="Times New Roman" w:hAnsi="Times New Roman" w:eastAsia="Malgun Gothic Semilight" w:cs="Times New Roman"/>
          <w:color w:val="000000"/>
          <w:sz w:val="28"/>
          <w:szCs w:val="28"/>
          <w:lang w:bidi="en-US"/>
        </w:rPr>
        <w:t>на</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науково-практичних</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заходах</w:t>
      </w:r>
      <w:r>
        <w:rPr>
          <w:rFonts w:ascii="Times New Roman" w:hAnsi="Times New Roman" w:eastAsia="Arial Unicode MS" w:cs="Times New Roman"/>
          <w:color w:val="000000"/>
          <w:sz w:val="28"/>
          <w:szCs w:val="28"/>
          <w:lang w:bidi="en-US"/>
        </w:rPr>
        <w:t>; і</w:t>
      </w:r>
      <w:r>
        <w:rPr>
          <w:rFonts w:ascii="Times New Roman" w:hAnsi="Times New Roman" w:eastAsia="Malgun Gothic Semilight" w:cs="Times New Roman"/>
          <w:color w:val="000000"/>
          <w:sz w:val="28"/>
          <w:szCs w:val="28"/>
          <w:lang w:bidi="en-US"/>
        </w:rPr>
        <w:t>нш</w:t>
      </w:r>
      <w:r>
        <w:rPr>
          <w:rFonts w:ascii="Times New Roman" w:hAnsi="Times New Roman" w:eastAsia="Arial Unicode MS" w:cs="Times New Roman"/>
          <w:color w:val="000000"/>
          <w:sz w:val="28"/>
          <w:szCs w:val="28"/>
          <w:lang w:bidi="en-US"/>
        </w:rPr>
        <w:t xml:space="preserve">і </w:t>
      </w:r>
      <w:r>
        <w:rPr>
          <w:rFonts w:ascii="Times New Roman" w:hAnsi="Times New Roman" w:eastAsia="Malgun Gothic Semilight" w:cs="Times New Roman"/>
          <w:color w:val="000000"/>
          <w:sz w:val="28"/>
          <w:szCs w:val="28"/>
          <w:lang w:bidi="en-US"/>
        </w:rPr>
        <w:t>види</w:t>
      </w:r>
      <w:r>
        <w:rPr>
          <w:rFonts w:ascii="Times New Roman" w:hAnsi="Times New Roman" w:eastAsia="Arial Unicode MS" w:cs="Times New Roman"/>
          <w:color w:val="000000"/>
          <w:sz w:val="28"/>
          <w:szCs w:val="28"/>
          <w:lang w:bidi="en-US"/>
        </w:rPr>
        <w:t xml:space="preserve"> і</w:t>
      </w:r>
      <w:r>
        <w:rPr>
          <w:rFonts w:ascii="Times New Roman" w:hAnsi="Times New Roman" w:eastAsia="Malgun Gothic Semilight" w:cs="Times New Roman"/>
          <w:color w:val="000000"/>
          <w:sz w:val="28"/>
          <w:szCs w:val="28"/>
          <w:lang w:bidi="en-US"/>
        </w:rPr>
        <w:t>ндив</w:t>
      </w:r>
      <w:r>
        <w:rPr>
          <w:rFonts w:ascii="Times New Roman" w:hAnsi="Times New Roman" w:eastAsia="Arial Unicode MS" w:cs="Times New Roman"/>
          <w:color w:val="000000"/>
          <w:sz w:val="28"/>
          <w:szCs w:val="28"/>
          <w:lang w:bidi="en-US"/>
        </w:rPr>
        <w:t>і</w:t>
      </w:r>
      <w:r>
        <w:rPr>
          <w:rFonts w:ascii="Times New Roman" w:hAnsi="Times New Roman" w:eastAsia="Malgun Gothic Semilight" w:cs="Times New Roman"/>
          <w:color w:val="000000"/>
          <w:sz w:val="28"/>
          <w:szCs w:val="28"/>
          <w:lang w:bidi="en-US"/>
        </w:rPr>
        <w:t>дуальних</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та</w:t>
      </w:r>
      <w:r>
        <w:rPr>
          <w:rFonts w:ascii="Times New Roman" w:hAnsi="Times New Roman" w:eastAsia="Arial Unicode MS" w:cs="Times New Roman"/>
          <w:color w:val="000000"/>
          <w:sz w:val="28"/>
          <w:szCs w:val="28"/>
          <w:lang w:bidi="en-US"/>
        </w:rPr>
        <w:t xml:space="preserve"> групових завдань.</w:t>
      </w:r>
    </w:p>
    <w:p w14:paraId="6D3905D5">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Підсумковий контроль: екзамен.</w:t>
      </w:r>
    </w:p>
    <w:p w14:paraId="7290AAF1">
      <w:pPr>
        <w:widowControl w:val="0"/>
        <w:spacing w:after="0" w:line="240" w:lineRule="auto"/>
        <w:jc w:val="both"/>
        <w:rPr>
          <w:rFonts w:ascii="Times New Roman" w:hAnsi="Times New Roman" w:cs="Times New Roman"/>
          <w:sz w:val="28"/>
          <w:szCs w:val="28"/>
        </w:rPr>
      </w:pPr>
    </w:p>
    <w:p w14:paraId="274D6123">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Критерії оцінювання результатів навчання</w:t>
      </w:r>
    </w:p>
    <w:p w14:paraId="558A06A8">
      <w:pPr>
        <w:pStyle w:val="6"/>
        <w:widowControl w:val="0"/>
        <w:spacing w:before="0" w:beforeAutospacing="0" w:after="0" w:afterAutospacing="0"/>
        <w:ind w:firstLine="567"/>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p>
    <w:p w14:paraId="75C6E8A0">
      <w:pPr>
        <w:pStyle w:val="6"/>
        <w:widowControl w:val="0"/>
        <w:spacing w:before="0" w:beforeAutospacing="0" w:after="0" w:afterAutospacing="0"/>
        <w:ind w:firstLine="567"/>
        <w:jc w:val="both"/>
        <w:rPr>
          <w:sz w:val="28"/>
          <w:szCs w:val="28"/>
        </w:rPr>
      </w:pPr>
      <w:r>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14:paraId="35ACF146">
      <w:pPr>
        <w:widowControl w:val="0"/>
        <w:spacing w:after="0" w:line="240" w:lineRule="auto"/>
        <w:jc w:val="both"/>
        <w:rPr>
          <w:rFonts w:ascii="Times New Roman" w:hAnsi="Times New Roman" w:cs="Times New Roman"/>
          <w:sz w:val="28"/>
          <w:szCs w:val="28"/>
        </w:rPr>
      </w:pPr>
    </w:p>
    <w:p w14:paraId="033CE3A8">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Політика щодо академічної доброчесності</w:t>
      </w:r>
    </w:p>
    <w:p w14:paraId="64E2422E">
      <w:pPr>
        <w:pStyle w:val="8"/>
        <w:ind w:left="0" w:firstLine="56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0CCC2B2A">
      <w:pPr>
        <w:pStyle w:val="8"/>
        <w:numPr>
          <w:ilvl w:val="0"/>
          <w:numId w:val="1"/>
        </w:numPr>
        <w:tabs>
          <w:tab w:val="left" w:pos="851"/>
        </w:tabs>
        <w:ind w:left="0" w:firstLine="56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Етичний кодекс </w:t>
      </w:r>
      <w:r>
        <w:rPr>
          <w:bCs/>
          <w:color w:val="000000" w:themeColor="text1"/>
          <w:spacing w:val="-4"/>
          <w:sz w:val="28"/>
          <w:szCs w:val="28"/>
          <w14:textFill>
            <w14:solidFill>
              <w14:schemeClr w14:val="tx1"/>
            </w14:solidFill>
          </w14:textFill>
        </w:rPr>
        <w:t xml:space="preserve">Чернівецького національного університету імені Юрія Федьковича. </w:t>
      </w:r>
      <w:r>
        <w:rPr>
          <w:bCs/>
          <w:color w:val="000000" w:themeColor="text1"/>
          <w:sz w:val="28"/>
          <w:szCs w:val="28"/>
          <w:lang w:val="en-US"/>
          <w14:textFill>
            <w14:solidFill>
              <w14:schemeClr w14:val="tx1"/>
            </w14:solidFill>
          </w14:textFill>
        </w:rPr>
        <w:t>URL</w:t>
      </w:r>
      <w:r>
        <w:rPr>
          <w:bCs/>
          <w:color w:val="000000" w:themeColor="text1"/>
          <w:sz w:val="28"/>
          <w:szCs w:val="28"/>
          <w14:textFill>
            <w14:solidFill>
              <w14:schemeClr w14:val="tx1"/>
            </w14:solidFill>
          </w14:textFill>
        </w:rPr>
        <w:t xml:space="preserve">: </w:t>
      </w:r>
      <w:r>
        <w:fldChar w:fldCharType="begin"/>
      </w:r>
      <w:r>
        <w:instrText xml:space="preserve"> HYPERLINK "https://www.chnu.edu.ua/media/jxdbs0zb/etychnyi-kodeks-chernivets%20koho-natsionalnoho-universytetu.pdf" </w:instrText>
      </w:r>
      <w:r>
        <w:fldChar w:fldCharType="separate"/>
      </w:r>
      <w:r>
        <w:rPr>
          <w:rStyle w:val="5"/>
          <w:bCs/>
          <w:color w:val="0070C0"/>
          <w:sz w:val="28"/>
          <w:szCs w:val="28"/>
        </w:rPr>
        <w:t>https://www.chnu.edu.ua/media/jxdbs0zb/etychnyi-kodeks-chernivets koho-natsionalnoho-universytetu.pdf</w:t>
      </w:r>
      <w:r>
        <w:rPr>
          <w:rStyle w:val="5"/>
          <w:bCs/>
          <w:color w:val="0070C0"/>
          <w:sz w:val="28"/>
          <w:szCs w:val="28"/>
        </w:rPr>
        <w:fldChar w:fldCharType="end"/>
      </w:r>
      <w:r>
        <w:rPr>
          <w:rStyle w:val="5"/>
          <w:bCs/>
          <w:sz w:val="28"/>
          <w:szCs w:val="28"/>
        </w:rPr>
        <w:t>;</w:t>
      </w:r>
    </w:p>
    <w:p w14:paraId="0422628F">
      <w:pPr>
        <w:pStyle w:val="8"/>
        <w:numPr>
          <w:ilvl w:val="0"/>
          <w:numId w:val="1"/>
        </w:numPr>
        <w:tabs>
          <w:tab w:val="left" w:pos="851"/>
        </w:tabs>
        <w:ind w:left="0" w:firstLine="567"/>
        <w:rPr>
          <w:sz w:val="28"/>
          <w:szCs w:val="28"/>
        </w:rPr>
      </w:pPr>
      <w:r>
        <w:rPr>
          <w:bCs/>
          <w:color w:val="000000" w:themeColor="text1"/>
          <w:sz w:val="28"/>
          <w:szCs w:val="28"/>
          <w14:textFill>
            <w14:solidFill>
              <w14:schemeClr w14:val="tx1"/>
            </w14:solidFill>
          </w14:textFill>
        </w:rPr>
        <w:t xml:space="preserve">Положенням про виявлення та запобігання академічного плагіату у Чернівецькому національному університету імені Юрія Федьковича. </w:t>
      </w:r>
      <w:r>
        <w:rPr>
          <w:bCs/>
          <w:color w:val="000000" w:themeColor="text1"/>
          <w:sz w:val="28"/>
          <w:szCs w:val="28"/>
          <w:lang w:val="en-US"/>
          <w14:textFill>
            <w14:solidFill>
              <w14:schemeClr w14:val="tx1"/>
            </w14:solidFill>
          </w14:textFill>
        </w:rPr>
        <w:t>URL</w:t>
      </w:r>
      <w:r>
        <w:rPr>
          <w:bCs/>
          <w:color w:val="000000" w:themeColor="text1"/>
          <w:sz w:val="28"/>
          <w:szCs w:val="28"/>
          <w14:textFill>
            <w14:solidFill>
              <w14:schemeClr w14:val="tx1"/>
            </w14:solidFill>
          </w14:textFill>
        </w:rPr>
        <w:t>:</w:t>
      </w:r>
      <w:r>
        <w:rPr>
          <w:rFonts w:hint="default"/>
          <w:bCs/>
          <w:color w:val="000000" w:themeColor="text1"/>
          <w:sz w:val="28"/>
          <w:szCs w:val="28"/>
          <w:lang w:val="uk-UA"/>
          <w14:textFill>
            <w14:solidFill>
              <w14:schemeClr w14:val="tx1"/>
            </w14:solidFill>
          </w14:textFill>
        </w:rPr>
        <w:t xml:space="preserve"> </w:t>
      </w:r>
      <w:r>
        <w:rPr>
          <w:bCs/>
          <w:color w:val="000000" w:themeColor="text1"/>
          <w:sz w:val="28"/>
          <w:szCs w:val="28"/>
          <w14:textFill>
            <w14:solidFill>
              <w14:schemeClr w14:val="tx1"/>
            </w14:solidFill>
          </w14:textFill>
        </w:rPr>
        <w:fldChar w:fldCharType="begin"/>
      </w:r>
      <w:r>
        <w:rPr>
          <w:bCs/>
          <w:color w:val="000000" w:themeColor="text1"/>
          <w:sz w:val="28"/>
          <w:szCs w:val="28"/>
          <w14:textFill>
            <w14:solidFill>
              <w14:schemeClr w14:val="tx1"/>
            </w14:solidFill>
          </w14:textFill>
        </w:rPr>
        <w:instrText xml:space="preserve"> HYPERLINK "https://www.chnu.edu.ua/media/hkzbr1b2/polozhennia-pro-vyiavlennia-ta-zapobihannia-akademichnomu-plahiatu-u-chnu-2025.pdf" </w:instrText>
      </w:r>
      <w:r>
        <w:rPr>
          <w:bCs/>
          <w:color w:val="000000" w:themeColor="text1"/>
          <w:sz w:val="28"/>
          <w:szCs w:val="28"/>
          <w14:textFill>
            <w14:solidFill>
              <w14:schemeClr w14:val="tx1"/>
            </w14:solidFill>
          </w14:textFill>
        </w:rPr>
        <w:fldChar w:fldCharType="separate"/>
      </w:r>
      <w:r>
        <w:rPr>
          <w:rStyle w:val="5"/>
          <w:bCs/>
          <w:sz w:val="28"/>
          <w:szCs w:val="28"/>
        </w:rPr>
        <w:t>https://www.chnu.edu.ua/media/hkzbr1b2/polozhennia-pro-vyiavlennia-ta-zapobihannia-akademichnomu-plahiatu-u-chnu-2025.pdf</w:t>
      </w:r>
      <w:r>
        <w:rPr>
          <w:bCs/>
          <w:color w:val="000000" w:themeColor="text1"/>
          <w:sz w:val="28"/>
          <w:szCs w:val="28"/>
          <w14:textFill>
            <w14:solidFill>
              <w14:schemeClr w14:val="tx1"/>
            </w14:solidFill>
          </w14:textFill>
        </w:rPr>
        <w:fldChar w:fldCharType="end"/>
      </w:r>
    </w:p>
    <w:p w14:paraId="71ACA25F">
      <w:pPr>
        <w:widowControl w:val="0"/>
        <w:spacing w:after="0" w:line="240" w:lineRule="auto"/>
        <w:ind w:firstLine="567"/>
        <w:jc w:val="both"/>
        <w:rPr>
          <w:rFonts w:ascii="Times New Roman" w:hAnsi="Times New Roman" w:cs="Times New Roman"/>
          <w:sz w:val="28"/>
          <w:szCs w:val="28"/>
        </w:rPr>
      </w:pPr>
      <w:bookmarkStart w:id="0" w:name="_GoBack"/>
      <w:bookmarkEnd w:id="0"/>
    </w:p>
    <w:p w14:paraId="58FB0DFB">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Інформаційні ресурси</w:t>
      </w:r>
    </w:p>
    <w:p w14:paraId="2A761204">
      <w:pPr>
        <w:pStyle w:val="8"/>
        <w:tabs>
          <w:tab w:val="left" w:pos="709"/>
          <w:tab w:val="left" w:pos="993"/>
        </w:tabs>
        <w:ind w:left="0" w:firstLine="567"/>
        <w:rPr>
          <w:sz w:val="28"/>
          <w:szCs w:val="28"/>
        </w:rPr>
      </w:pPr>
      <w:r>
        <w:rPr>
          <w:sz w:val="28"/>
          <w:szCs w:val="28"/>
        </w:rPr>
        <w:t>Академічні ресурси:</w:t>
      </w:r>
    </w:p>
    <w:p w14:paraId="080DB3C0">
      <w:pPr>
        <w:pStyle w:val="8"/>
        <w:tabs>
          <w:tab w:val="left" w:pos="709"/>
          <w:tab w:val="left" w:pos="993"/>
        </w:tabs>
        <w:ind w:left="0" w:firstLine="567"/>
        <w:rPr>
          <w:sz w:val="28"/>
          <w:szCs w:val="28"/>
        </w:rPr>
      </w:pPr>
      <w:r>
        <w:rPr>
          <w:sz w:val="28"/>
          <w:szCs w:val="28"/>
        </w:rPr>
        <w:t>1. Репозитарій академічних статей, таких як Google Scholar або ResearchGate, для пошуку актуальних наукових досліджень та публікацій з курсу.</w:t>
      </w:r>
    </w:p>
    <w:p w14:paraId="227692F6">
      <w:pPr>
        <w:pStyle w:val="8"/>
        <w:tabs>
          <w:tab w:val="left" w:pos="709"/>
          <w:tab w:val="left" w:pos="993"/>
        </w:tabs>
        <w:ind w:left="0" w:firstLine="567"/>
        <w:rPr>
          <w:sz w:val="28"/>
          <w:szCs w:val="28"/>
        </w:rPr>
      </w:pPr>
      <w:r>
        <w:rPr>
          <w:sz w:val="28"/>
          <w:szCs w:val="28"/>
        </w:rPr>
        <w:t xml:space="preserve">2. Archer – інституційний репозитарій відкритого доступу представників Чернівецького національного університету імені Юрія Федьковича. URL: </w:t>
      </w:r>
      <w:r>
        <w:fldChar w:fldCharType="begin"/>
      </w:r>
      <w:r>
        <w:instrText xml:space="preserve"> HYPERLINK "https://archer.chnu.edu.ua" </w:instrText>
      </w:r>
      <w:r>
        <w:fldChar w:fldCharType="separate"/>
      </w:r>
      <w:r>
        <w:rPr>
          <w:rStyle w:val="5"/>
          <w:sz w:val="28"/>
          <w:szCs w:val="28"/>
        </w:rPr>
        <w:t>https://archer.chnu.edu.ua</w:t>
      </w:r>
      <w:r>
        <w:rPr>
          <w:rStyle w:val="5"/>
          <w:sz w:val="28"/>
          <w:szCs w:val="28"/>
        </w:rPr>
        <w:fldChar w:fldCharType="end"/>
      </w:r>
      <w:r>
        <w:rPr>
          <w:sz w:val="28"/>
          <w:szCs w:val="28"/>
        </w:rPr>
        <w:t>.</w:t>
      </w:r>
    </w:p>
    <w:p w14:paraId="32E42057">
      <w:pPr>
        <w:pStyle w:val="8"/>
        <w:tabs>
          <w:tab w:val="left" w:pos="709"/>
          <w:tab w:val="left" w:pos="993"/>
        </w:tabs>
        <w:ind w:left="0" w:firstLine="567"/>
        <w:rPr>
          <w:sz w:val="28"/>
          <w:szCs w:val="28"/>
        </w:rPr>
      </w:pPr>
      <w:r>
        <w:rPr>
          <w:sz w:val="28"/>
          <w:szCs w:val="28"/>
        </w:rPr>
        <w:t>Офіційні сайти органів державного управління України:</w:t>
      </w:r>
    </w:p>
    <w:p w14:paraId="3DDEA700">
      <w:pPr>
        <w:pStyle w:val="8"/>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Верховної Ради України. </w:t>
      </w:r>
      <w:r>
        <w:rPr>
          <w:sz w:val="28"/>
        </w:rPr>
        <w:t>URL:</w:t>
      </w:r>
      <w:r>
        <w:rPr>
          <w:sz w:val="28"/>
          <w:szCs w:val="28"/>
        </w:rPr>
        <w:t xml:space="preserve"> </w:t>
      </w:r>
      <w:r>
        <w:fldChar w:fldCharType="begin"/>
      </w:r>
      <w:r>
        <w:instrText xml:space="preserve"> HYPERLINK "http://www.rada.gov.ua/" </w:instrText>
      </w:r>
      <w:r>
        <w:fldChar w:fldCharType="separate"/>
      </w:r>
      <w:r>
        <w:rPr>
          <w:rStyle w:val="5"/>
          <w:sz w:val="28"/>
        </w:rPr>
        <w:t>www.rada.gov.ua</w:t>
      </w:r>
      <w:r>
        <w:rPr>
          <w:rStyle w:val="5"/>
          <w:sz w:val="28"/>
          <w:lang w:val="en-US"/>
        </w:rPr>
        <w:t>/</w:t>
      </w:r>
      <w:r>
        <w:rPr>
          <w:rStyle w:val="5"/>
          <w:sz w:val="28"/>
          <w:lang w:val="en-US"/>
        </w:rPr>
        <w:fldChar w:fldCharType="end"/>
      </w:r>
      <w:r>
        <w:rPr>
          <w:sz w:val="28"/>
          <w:szCs w:val="28"/>
        </w:rPr>
        <w:t xml:space="preserve">.  </w:t>
      </w:r>
    </w:p>
    <w:p w14:paraId="0F465425">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Кабінету Міністрів України. </w:t>
      </w:r>
      <w:r>
        <w:rPr>
          <w:sz w:val="28"/>
        </w:rPr>
        <w:t xml:space="preserve">URL: </w:t>
      </w:r>
      <w:r>
        <w:fldChar w:fldCharType="begin"/>
      </w:r>
      <w:r>
        <w:instrText xml:space="preserve"> HYPERLINK "https://www.kmu.gov.ua" </w:instrText>
      </w:r>
      <w:r>
        <w:fldChar w:fldCharType="separate"/>
      </w:r>
      <w:r>
        <w:rPr>
          <w:rStyle w:val="5"/>
          <w:sz w:val="28"/>
        </w:rPr>
        <w:t>https://www.kmu.gov.ua</w:t>
      </w:r>
      <w:r>
        <w:rPr>
          <w:rStyle w:val="5"/>
          <w:sz w:val="28"/>
        </w:rPr>
        <w:fldChar w:fldCharType="end"/>
      </w:r>
      <w:r>
        <w:rPr>
          <w:sz w:val="28"/>
        </w:rPr>
        <w:t xml:space="preserve">. </w:t>
      </w:r>
    </w:p>
    <w:p w14:paraId="1D9B1539">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казначейської служби України. </w:t>
      </w:r>
      <w:r>
        <w:rPr>
          <w:sz w:val="28"/>
        </w:rPr>
        <w:t xml:space="preserve">URL: </w:t>
      </w:r>
      <w:r>
        <w:fldChar w:fldCharType="begin"/>
      </w:r>
      <w:r>
        <w:instrText xml:space="preserve"> HYPERLINK "https://www.treasury.gov.ua" </w:instrText>
      </w:r>
      <w:r>
        <w:fldChar w:fldCharType="separate"/>
      </w:r>
      <w:r>
        <w:rPr>
          <w:rStyle w:val="5"/>
          <w:sz w:val="28"/>
        </w:rPr>
        <w:t>https://www.treasury.gov.ua</w:t>
      </w:r>
      <w:r>
        <w:rPr>
          <w:rStyle w:val="5"/>
          <w:sz w:val="28"/>
        </w:rPr>
        <w:fldChar w:fldCharType="end"/>
      </w:r>
      <w:r>
        <w:rPr>
          <w:sz w:val="28"/>
        </w:rPr>
        <w:t xml:space="preserve">. </w:t>
      </w:r>
    </w:p>
    <w:p w14:paraId="5F58CB55">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митної служби України. </w:t>
      </w:r>
      <w:r>
        <w:rPr>
          <w:sz w:val="28"/>
        </w:rPr>
        <w:t xml:space="preserve">URL: </w:t>
      </w:r>
      <w:r>
        <w:fldChar w:fldCharType="begin"/>
      </w:r>
      <w:r>
        <w:instrText xml:space="preserve"> HYPERLINK "https://customs.gov.ua" </w:instrText>
      </w:r>
      <w:r>
        <w:fldChar w:fldCharType="separate"/>
      </w:r>
      <w:r>
        <w:rPr>
          <w:rStyle w:val="5"/>
          <w:sz w:val="28"/>
        </w:rPr>
        <w:t>https://customs.gov.ua</w:t>
      </w:r>
      <w:r>
        <w:rPr>
          <w:rStyle w:val="5"/>
          <w:sz w:val="28"/>
        </w:rPr>
        <w:fldChar w:fldCharType="end"/>
      </w:r>
      <w:r>
        <w:rPr>
          <w:sz w:val="28"/>
        </w:rPr>
        <w:t xml:space="preserve">. </w:t>
      </w:r>
    </w:p>
    <w:p w14:paraId="44AC5929">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податкової служби України. </w:t>
      </w:r>
      <w:r>
        <w:rPr>
          <w:sz w:val="28"/>
        </w:rPr>
        <w:t xml:space="preserve">URL: </w:t>
      </w:r>
      <w:r>
        <w:fldChar w:fldCharType="begin"/>
      </w:r>
      <w:r>
        <w:instrText xml:space="preserve"> HYPERLINK "https://tax.gov.ua" </w:instrText>
      </w:r>
      <w:r>
        <w:fldChar w:fldCharType="separate"/>
      </w:r>
      <w:r>
        <w:rPr>
          <w:rStyle w:val="5"/>
          <w:sz w:val="28"/>
        </w:rPr>
        <w:t>https://tax.gov.ua</w:t>
      </w:r>
      <w:r>
        <w:rPr>
          <w:rStyle w:val="5"/>
          <w:sz w:val="28"/>
        </w:rPr>
        <w:fldChar w:fldCharType="end"/>
      </w:r>
      <w:r>
        <w:rPr>
          <w:sz w:val="28"/>
        </w:rPr>
        <w:t xml:space="preserve">. </w:t>
      </w:r>
    </w:p>
    <w:p w14:paraId="7BA82F7E">
      <w:pPr>
        <w:pStyle w:val="8"/>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Міністерства фінансів України. </w:t>
      </w:r>
      <w:r>
        <w:rPr>
          <w:sz w:val="28"/>
        </w:rPr>
        <w:t xml:space="preserve">URL: </w:t>
      </w:r>
      <w:r>
        <w:fldChar w:fldCharType="begin"/>
      </w:r>
      <w:r>
        <w:instrText xml:space="preserve"> HYPERLINK "http://www.minfin.gov.ua" </w:instrText>
      </w:r>
      <w:r>
        <w:fldChar w:fldCharType="separate"/>
      </w:r>
      <w:r>
        <w:rPr>
          <w:rStyle w:val="5"/>
          <w:sz w:val="28"/>
          <w:szCs w:val="28"/>
        </w:rPr>
        <w:t>www.minfin.gov.ua</w:t>
      </w:r>
      <w:r>
        <w:rPr>
          <w:rStyle w:val="5"/>
          <w:sz w:val="28"/>
          <w:szCs w:val="28"/>
        </w:rPr>
        <w:fldChar w:fldCharType="end"/>
      </w:r>
      <w:r>
        <w:rPr>
          <w:sz w:val="28"/>
        </w:rPr>
        <w:t xml:space="preserve">. </w:t>
      </w:r>
    </w:p>
    <w:p w14:paraId="206927B1">
      <w:pPr>
        <w:pStyle w:val="8"/>
        <w:numPr>
          <w:ilvl w:val="0"/>
          <w:numId w:val="2"/>
        </w:numPr>
        <w:tabs>
          <w:tab w:val="left" w:pos="851"/>
          <w:tab w:val="left" w:pos="980"/>
        </w:tabs>
        <w:autoSpaceDE/>
        <w:autoSpaceDN/>
        <w:ind w:left="0" w:firstLine="567"/>
        <w:contextualSpacing/>
        <w:rPr>
          <w:sz w:val="28"/>
          <w:szCs w:val="28"/>
        </w:rPr>
      </w:pPr>
      <w:r>
        <w:rPr>
          <w:sz w:val="28"/>
          <w:szCs w:val="28"/>
        </w:rPr>
        <w:t>Офіційний сайт Міністерства економіки України.</w:t>
      </w:r>
      <w:r>
        <w:rPr>
          <w:sz w:val="28"/>
        </w:rPr>
        <w:t xml:space="preserve"> URL:</w:t>
      </w:r>
      <w:r>
        <w:rPr>
          <w:sz w:val="28"/>
          <w:szCs w:val="28"/>
        </w:rPr>
        <w:t xml:space="preserve"> </w:t>
      </w:r>
      <w:r>
        <w:fldChar w:fldCharType="begin"/>
      </w:r>
      <w:r>
        <w:instrText xml:space="preserve"> HYPERLINK "https://www.me.gov.ua" </w:instrText>
      </w:r>
      <w:r>
        <w:fldChar w:fldCharType="separate"/>
      </w:r>
      <w:r>
        <w:rPr>
          <w:rStyle w:val="5"/>
          <w:sz w:val="28"/>
          <w:szCs w:val="28"/>
        </w:rPr>
        <w:t>https://www.me.gov.ua</w:t>
      </w:r>
      <w:r>
        <w:rPr>
          <w:rStyle w:val="5"/>
          <w:sz w:val="28"/>
          <w:szCs w:val="28"/>
        </w:rPr>
        <w:fldChar w:fldCharType="end"/>
      </w:r>
      <w:r>
        <w:rPr>
          <w:rStyle w:val="5"/>
          <w:sz w:val="28"/>
          <w:szCs w:val="28"/>
        </w:rPr>
        <w:t>.</w:t>
      </w:r>
    </w:p>
    <w:p w14:paraId="3D41FFBC">
      <w:pPr>
        <w:widowControl w:val="0"/>
        <w:spacing w:after="0" w:line="240" w:lineRule="auto"/>
        <w:jc w:val="both"/>
        <w:rPr>
          <w:rFonts w:ascii="Times New Roman" w:hAnsi="Times New Roman" w:cs="Times New Roman"/>
          <w:sz w:val="28"/>
          <w:szCs w:val="28"/>
        </w:rPr>
      </w:pPr>
    </w:p>
    <w:p w14:paraId="3A9569B2">
      <w:pPr>
        <w:widowControl w:val="0"/>
        <w:spacing w:after="0" w:line="240" w:lineRule="auto"/>
        <w:jc w:val="both"/>
        <w:rPr>
          <w:rFonts w:ascii="Times New Roman" w:hAnsi="Times New Roman" w:cs="Times New Roman"/>
          <w:sz w:val="28"/>
          <w:szCs w:val="28"/>
        </w:rPr>
      </w:pPr>
    </w:p>
    <w:p w14:paraId="3415CC70">
      <w:pPr>
        <w:widowControl w:val="0"/>
        <w:spacing w:after="0" w:line="240" w:lineRule="auto"/>
        <w:jc w:val="center"/>
        <w:rPr>
          <w:rFonts w:ascii="Times New Roman" w:hAnsi="Times New Roman" w:cs="Times New Roman"/>
          <w:sz w:val="28"/>
          <w:szCs w:val="28"/>
        </w:rPr>
      </w:pPr>
      <w:r>
        <w:rPr>
          <w:rFonts w:ascii="Times New Roman" w:hAnsi="Times New Roman"/>
          <w:b/>
          <w:bCs/>
          <w:i/>
          <w:iCs/>
          <w:sz w:val="28"/>
          <w:szCs w:val="28"/>
        </w:rPr>
        <w:t>Детальна інформація щодо вивчення курсу «Внутрішньогосподарський контроль та управління ризиками»</w:t>
      </w:r>
      <w:r>
        <w:rPr>
          <w:rFonts w:ascii="Times New Roman" w:hAnsi="Times New Roman"/>
          <w:bCs/>
          <w:i/>
          <w:iCs/>
          <w:sz w:val="28"/>
          <w:szCs w:val="28"/>
        </w:rPr>
        <w:t xml:space="preserve"> </w:t>
      </w:r>
      <w:r>
        <w:rPr>
          <w:rFonts w:ascii="Times New Roman" w:hAnsi="Times New Roman"/>
          <w:b/>
          <w:bCs/>
          <w:i/>
          <w:iCs/>
          <w:sz w:val="28"/>
          <w:szCs w:val="28"/>
        </w:rPr>
        <w:t>висвітлена у робочій програмі навчальної дисципліни</w:t>
      </w:r>
    </w:p>
    <w:p w14:paraId="7AA1A4EC">
      <w:pPr>
        <w:pStyle w:val="8"/>
        <w:tabs>
          <w:tab w:val="left" w:pos="0"/>
        </w:tabs>
        <w:ind w:left="0"/>
        <w:jc w:val="center"/>
        <w:rPr>
          <w:bCs/>
          <w:i/>
          <w:iCs/>
          <w:color w:val="000000" w:themeColor="text1"/>
          <w:sz w:val="28"/>
          <w:szCs w:val="28"/>
          <w14:textFill>
            <w14:solidFill>
              <w14:schemeClr w14:val="tx1"/>
            </w14:solidFill>
          </w14:textFill>
        </w:rPr>
      </w:pPr>
      <w:r>
        <w:rPr>
          <w:rFonts w:eastAsia="+mn-ea"/>
          <w:i/>
          <w:iCs/>
          <w:color w:val="0070C0"/>
          <w:kern w:val="24"/>
          <w:sz w:val="28"/>
          <w:szCs w:val="28"/>
        </w:rPr>
        <w:t>(https://accounting.chnu.edu.ua/diialnist/osvitnia/osvitni-prohramy/bakalavr/robochi-prohramy/</w:t>
      </w:r>
      <w:r>
        <w:rPr>
          <w:rFonts w:eastAsia="+mn-ea"/>
          <w:i/>
          <w:iCs/>
          <w:color w:val="0070C0"/>
          <w:kern w:val="24"/>
          <w:sz w:val="28"/>
          <w:szCs w:val="28"/>
          <w:u w:val="single"/>
        </w:rPr>
        <w:t>)</w:t>
      </w:r>
    </w:p>
    <w:p w14:paraId="6B5F9C90">
      <w:pPr>
        <w:widowControl w:val="0"/>
        <w:spacing w:after="0" w:line="240" w:lineRule="auto"/>
        <w:jc w:val="center"/>
        <w:rPr>
          <w:rFonts w:ascii="Times New Roman" w:hAnsi="Times New Roman" w:cs="Times New Roman"/>
          <w:sz w:val="24"/>
          <w:szCs w:val="24"/>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algun Gothic Semilight">
    <w:panose1 w:val="020B0502040204020203"/>
    <w:charset w:val="81"/>
    <w:family w:val="swiss"/>
    <w:pitch w:val="default"/>
    <w:sig w:usb0="900002AF" w:usb1="01D77CFB" w:usb2="00000012" w:usb3="00000000" w:csb0="203E01BD" w:csb1="D7FF0000"/>
  </w:font>
  <w:font w:name="Arial Unicode MS">
    <w:altName w:val="Arial"/>
    <w:panose1 w:val="020B0604020202020204"/>
    <w:charset w:val="80"/>
    <w:family w:val="swiss"/>
    <w:pitch w:val="default"/>
    <w:sig w:usb0="00000000" w:usb1="00000000" w:usb2="0000003F" w:usb3="00000000" w:csb0="003F01FF" w:csb1="00000000"/>
  </w:font>
  <w:font w:name="+mn-ea">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E52B9"/>
    <w:multiLevelType w:val="multilevel"/>
    <w:tmpl w:val="031E52B9"/>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
    <w:nsid w:val="31D16957"/>
    <w:multiLevelType w:val="multilevel"/>
    <w:tmpl w:val="31D16957"/>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08608D"/>
    <w:rsid w:val="001063FA"/>
    <w:rsid w:val="002E5CD8"/>
    <w:rsid w:val="004139CC"/>
    <w:rsid w:val="00427B40"/>
    <w:rsid w:val="00486B62"/>
    <w:rsid w:val="005961AA"/>
    <w:rsid w:val="006646F0"/>
    <w:rsid w:val="00672B4B"/>
    <w:rsid w:val="006A0000"/>
    <w:rsid w:val="00807117"/>
    <w:rsid w:val="00874AB2"/>
    <w:rsid w:val="00955369"/>
    <w:rsid w:val="009852F3"/>
    <w:rsid w:val="009B2B9B"/>
    <w:rsid w:val="00BB0259"/>
    <w:rsid w:val="00D3198C"/>
    <w:rsid w:val="00D96168"/>
    <w:rsid w:val="00E34EE3"/>
    <w:rsid w:val="00EC155A"/>
    <w:rsid w:val="00EE2923"/>
    <w:rsid w:val="00EE6408"/>
    <w:rsid w:val="00EF7B16"/>
    <w:rsid w:val="00F1290D"/>
    <w:rsid w:val="00F603A2"/>
    <w:rsid w:val="161932E5"/>
    <w:rsid w:val="37040E4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14:textFill>
        <w14:solidFill>
          <w14:schemeClr w14:val="folHlink"/>
        </w14:solidFill>
      </w14:textFill>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9"/>
    <w:qFormat/>
    <w:uiPriority w:val="1"/>
    <w:pPr>
      <w:widowControl w:val="0"/>
      <w:autoSpaceDE w:val="0"/>
      <w:autoSpaceDN w:val="0"/>
      <w:spacing w:after="0" w:line="240" w:lineRule="auto"/>
      <w:ind w:left="859" w:hanging="360"/>
      <w:jc w:val="both"/>
    </w:pPr>
    <w:rPr>
      <w:rFonts w:ascii="Times New Roman" w:hAnsi="Times New Roman" w:eastAsia="Times New Roman" w:cs="Times New Roman"/>
    </w:rPr>
  </w:style>
  <w:style w:type="character" w:customStyle="1" w:styleId="9">
    <w:name w:val="Абзац списка Знак"/>
    <w:link w:val="8"/>
    <w:qFormat/>
    <w:locked/>
    <w:uiPriority w:val="34"/>
    <w:rPr>
      <w:rFonts w:ascii="Times New Roman" w:hAnsi="Times New Roman" w:eastAsia="Times New Roman" w:cs="Times New Roman"/>
    </w:rPr>
  </w:style>
  <w:style w:type="paragraph" w:customStyle="1" w:styleId="10">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11">
    <w:name w:val="Абзац списка2"/>
    <w:basedOn w:val="1"/>
    <w:qFormat/>
    <w:uiPriority w:val="0"/>
    <w:pPr>
      <w:spacing w:after="0" w:line="240" w:lineRule="auto"/>
      <w:ind w:left="720"/>
      <w:contextualSpacing/>
    </w:pPr>
    <w:rPr>
      <w:rFonts w:ascii="Times New Roman" w:hAnsi="Times New Roman" w:eastAsia="Calibri" w:cs="Times New Roman"/>
      <w:sz w:val="24"/>
      <w:szCs w:val="2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4939</Words>
  <Characters>2816</Characters>
  <Lines>23</Lines>
  <Paragraphs>15</Paragraphs>
  <TotalTime>0</TotalTime>
  <ScaleCrop>false</ScaleCrop>
  <LinksUpToDate>false</LinksUpToDate>
  <CharactersWithSpaces>7740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2024-08-07T10:36:00Z</dcterms:created>
  <dc:creator>User</dc:creator>
  <cp:lastModifiedBy>ttana</cp:lastModifiedBy>
  <dcterms:modified xsi:type="dcterms:W3CDTF">2025-10-09T18:44:44Z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781F5308D0074CC48585DCA0B8505B9A_12</vt:lpwstr>
  </property>
</Properties>
</file>