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283"/>
        <w:gridCol w:w="7655"/>
      </w:tblGrid>
      <w:tr w14:paraId="1C0E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vMerge w:val="restart"/>
            <w:vAlign w:val="center"/>
          </w:tcPr>
          <w:p w14:paraId="1C845906">
            <w:pPr>
              <w:widowControl w:val="0"/>
              <w:spacing w:after="0" w:line="240" w:lineRule="auto"/>
              <w:rPr>
                <w:rFonts w:ascii="Times New Roman" w:hAnsi="Times New Roman" w:cs="Times New Roman"/>
                <w:sz w:val="28"/>
                <w:szCs w:val="28"/>
              </w:rPr>
            </w:pPr>
            <w:r>
              <w:rPr>
                <w:b/>
                <w:color w:val="843C0B"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016000"/>
                          </a:xfrm>
                          <a:prstGeom prst="rect">
                            <a:avLst/>
                          </a:prstGeom>
                          <a:noFill/>
                          <a:ln>
                            <a:noFill/>
                          </a:ln>
                        </pic:spPr>
                      </pic:pic>
                    </a:graphicData>
                  </a:graphic>
                </wp:anchor>
              </w:drawing>
            </w:r>
          </w:p>
        </w:tc>
        <w:tc>
          <w:tcPr>
            <w:tcW w:w="283" w:type="dxa"/>
            <w:vAlign w:val="center"/>
          </w:tcPr>
          <w:p w14:paraId="3626EAC0">
            <w:pPr>
              <w:widowControl w:val="0"/>
              <w:spacing w:after="0" w:line="240" w:lineRule="auto"/>
              <w:jc w:val="both"/>
              <w:rPr>
                <w:rFonts w:ascii="Times New Roman" w:hAnsi="Times New Roman" w:cs="Times New Roman"/>
                <w:sz w:val="28"/>
                <w:szCs w:val="28"/>
              </w:rPr>
            </w:pPr>
          </w:p>
        </w:tc>
        <w:tc>
          <w:tcPr>
            <w:tcW w:w="7655" w:type="dxa"/>
            <w:vAlign w:val="center"/>
          </w:tcPr>
          <w:p w14:paraId="338AACDA">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Силабус навчальної дисципліни</w:t>
            </w:r>
          </w:p>
        </w:tc>
      </w:tr>
      <w:tr w14:paraId="2AD6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vMerge w:val="continue"/>
            <w:vAlign w:val="center"/>
          </w:tcPr>
          <w:p w14:paraId="3621AE57">
            <w:pPr>
              <w:widowControl w:val="0"/>
              <w:spacing w:after="0" w:line="240" w:lineRule="auto"/>
              <w:jc w:val="both"/>
              <w:rPr>
                <w:rFonts w:ascii="Times New Roman" w:hAnsi="Times New Roman" w:cs="Times New Roman"/>
                <w:sz w:val="28"/>
                <w:szCs w:val="28"/>
              </w:rPr>
            </w:pPr>
          </w:p>
        </w:tc>
        <w:tc>
          <w:tcPr>
            <w:tcW w:w="283" w:type="dxa"/>
            <w:vAlign w:val="center"/>
          </w:tcPr>
          <w:p w14:paraId="1899A568">
            <w:pPr>
              <w:widowControl w:val="0"/>
              <w:spacing w:after="0" w:line="240" w:lineRule="auto"/>
              <w:jc w:val="both"/>
              <w:rPr>
                <w:rFonts w:ascii="Times New Roman" w:hAnsi="Times New Roman" w:cs="Times New Roman"/>
                <w:sz w:val="28"/>
                <w:szCs w:val="28"/>
              </w:rPr>
            </w:pPr>
          </w:p>
        </w:tc>
        <w:tc>
          <w:tcPr>
            <w:tcW w:w="7655" w:type="dxa"/>
            <w:vAlign w:val="center"/>
          </w:tcPr>
          <w:p w14:paraId="734AB92C">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«ОБЛІКОВА СИСТЕМА КРАЇН ЄС»</w:t>
            </w:r>
          </w:p>
        </w:tc>
      </w:tr>
      <w:tr w14:paraId="7DBB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1701" w:type="dxa"/>
            <w:vMerge w:val="continue"/>
            <w:vAlign w:val="center"/>
          </w:tcPr>
          <w:p w14:paraId="7CCA65DE">
            <w:pPr>
              <w:widowControl w:val="0"/>
              <w:spacing w:after="0" w:line="240" w:lineRule="auto"/>
              <w:jc w:val="both"/>
              <w:rPr>
                <w:rFonts w:ascii="Times New Roman" w:hAnsi="Times New Roman" w:cs="Times New Roman"/>
                <w:sz w:val="28"/>
                <w:szCs w:val="28"/>
              </w:rPr>
            </w:pPr>
          </w:p>
        </w:tc>
        <w:tc>
          <w:tcPr>
            <w:tcW w:w="283" w:type="dxa"/>
            <w:vAlign w:val="center"/>
          </w:tcPr>
          <w:p w14:paraId="02925272">
            <w:pPr>
              <w:widowControl w:val="0"/>
              <w:spacing w:after="0" w:line="240" w:lineRule="auto"/>
              <w:jc w:val="both"/>
              <w:rPr>
                <w:rFonts w:ascii="Times New Roman" w:hAnsi="Times New Roman" w:cs="Times New Roman"/>
                <w:sz w:val="28"/>
                <w:szCs w:val="28"/>
              </w:rPr>
            </w:pPr>
          </w:p>
        </w:tc>
        <w:tc>
          <w:tcPr>
            <w:tcW w:w="7655" w:type="dxa"/>
            <w:vAlign w:val="center"/>
          </w:tcPr>
          <w:p w14:paraId="38441817">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Компонента освітньої програми – вибіркова (3 кредити)</w:t>
            </w:r>
          </w:p>
        </w:tc>
      </w:tr>
    </w:tbl>
    <w:p w14:paraId="05C4D588">
      <w:pPr>
        <w:widowControl w:val="0"/>
        <w:spacing w:after="0" w:line="240" w:lineRule="auto"/>
        <w:jc w:val="both"/>
        <w:rPr>
          <w:rFonts w:ascii="Times New Roman" w:hAnsi="Times New Roman" w:cs="Times New Roman"/>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14:paraId="1CA1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247F42A4">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Освітньо-професійна програма </w:t>
            </w:r>
          </w:p>
        </w:tc>
        <w:tc>
          <w:tcPr>
            <w:tcW w:w="4815" w:type="dxa"/>
            <w:vAlign w:val="center"/>
          </w:tcPr>
          <w:p w14:paraId="6362CB8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w:t>
            </w:r>
          </w:p>
        </w:tc>
      </w:tr>
      <w:tr w14:paraId="590D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5E11F184">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Спеціальність </w:t>
            </w:r>
          </w:p>
        </w:tc>
        <w:tc>
          <w:tcPr>
            <w:tcW w:w="4815" w:type="dxa"/>
            <w:vAlign w:val="center"/>
          </w:tcPr>
          <w:p w14:paraId="5E5EC6F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1 «Облік і оподаткування»</w:t>
            </w:r>
          </w:p>
        </w:tc>
      </w:tr>
      <w:tr w14:paraId="1FFB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3EC2A69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Галузь знань </w:t>
            </w:r>
          </w:p>
        </w:tc>
        <w:tc>
          <w:tcPr>
            <w:tcW w:w="4815" w:type="dxa"/>
            <w:vAlign w:val="center"/>
          </w:tcPr>
          <w:p w14:paraId="04D48EF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 «Бізнес, адміністрування та право»</w:t>
            </w:r>
          </w:p>
        </w:tc>
      </w:tr>
      <w:tr w14:paraId="083B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398E2D92">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Рівень вищої освіти </w:t>
            </w:r>
          </w:p>
        </w:tc>
        <w:tc>
          <w:tcPr>
            <w:tcW w:w="4815" w:type="dxa"/>
            <w:vAlign w:val="center"/>
          </w:tcPr>
          <w:p w14:paraId="5068659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перший (бакалаврський)</w:t>
            </w:r>
          </w:p>
        </w:tc>
      </w:tr>
      <w:tr w14:paraId="1ECB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5C60D4A6">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Мова навчання </w:t>
            </w:r>
          </w:p>
        </w:tc>
        <w:tc>
          <w:tcPr>
            <w:tcW w:w="4815" w:type="dxa"/>
            <w:vAlign w:val="center"/>
          </w:tcPr>
          <w:p w14:paraId="2792608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w:t>
            </w:r>
          </w:p>
        </w:tc>
      </w:tr>
      <w:tr w14:paraId="5E35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1C6E0D22">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Профайл викладача </w:t>
            </w:r>
          </w:p>
        </w:tc>
        <w:tc>
          <w:tcPr>
            <w:tcW w:w="4815" w:type="dxa"/>
            <w:vAlign w:val="center"/>
          </w:tcPr>
          <w:p w14:paraId="155C28D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Танасієва Марина Миколаївна – кандидат економічний наук, доцент, асистент кафедри обліку, аналізу і аудиту </w:t>
            </w:r>
          </w:p>
          <w:p w14:paraId="39DB783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"https://accounting.chnu.edu.ua/pro-nas/kolektyv/tanasiieva-maryna-mykolaivna/" </w:instrText>
            </w:r>
            <w:r>
              <w:rPr>
                <w:rFonts w:ascii="Times New Roman" w:hAnsi="Times New Roman" w:cs="Times New Roman"/>
                <w:sz w:val="24"/>
                <w:szCs w:val="24"/>
              </w:rPr>
              <w:fldChar w:fldCharType="separate"/>
            </w:r>
            <w:r>
              <w:rPr>
                <w:rStyle w:val="5"/>
                <w:rFonts w:ascii="Times New Roman" w:hAnsi="Times New Roman" w:cs="Times New Roman"/>
                <w:sz w:val="24"/>
                <w:szCs w:val="24"/>
              </w:rPr>
              <w:t>https://accounting.chnu.edu.ua/pro-nas/kolektyv/tanasiieva-maryna-mykolaivna/</w:t>
            </w:r>
            <w:r>
              <w:rPr>
                <w:rFonts w:ascii="Times New Roman" w:hAnsi="Times New Roman" w:cs="Times New Roman"/>
                <w:sz w:val="24"/>
                <w:szCs w:val="24"/>
              </w:rPr>
              <w:fldChar w:fldCharType="end"/>
            </w:r>
            <w:bookmarkStart w:id="0" w:name="_GoBack"/>
            <w:bookmarkEnd w:id="0"/>
          </w:p>
        </w:tc>
      </w:tr>
      <w:tr w14:paraId="3D9F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626D1382">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Контактний телефон</w:t>
            </w:r>
          </w:p>
        </w:tc>
        <w:tc>
          <w:tcPr>
            <w:tcW w:w="4815" w:type="dxa"/>
            <w:vAlign w:val="center"/>
          </w:tcPr>
          <w:p w14:paraId="1C2DC33D">
            <w:pPr>
              <w:widowControl w:val="0"/>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+38(050)9669932</w:t>
            </w:r>
          </w:p>
        </w:tc>
      </w:tr>
      <w:tr w14:paraId="1FE8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69115F72">
            <w:pPr>
              <w:widowControl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E-mail </w:t>
            </w:r>
          </w:p>
        </w:tc>
        <w:tc>
          <w:tcPr>
            <w:tcW w:w="4815" w:type="dxa"/>
            <w:vAlign w:val="center"/>
          </w:tcPr>
          <w:p w14:paraId="27730BA7">
            <w:pPr>
              <w:widowControl w:val="0"/>
              <w:spacing w:after="0" w:line="240" w:lineRule="auto"/>
              <w:jc w:val="both"/>
              <w:rPr>
                <w:rFonts w:ascii="Times New Roman" w:hAnsi="Times New Roman" w:cs="Times New Roman"/>
                <w:sz w:val="24"/>
                <w:szCs w:val="24"/>
              </w:rPr>
            </w:pPr>
            <w:r>
              <w:fldChar w:fldCharType="begin"/>
            </w:r>
            <w:r>
              <w:instrText xml:space="preserve"> HYPERLINK "mailto:m.tanasiyeva@chnu.edu.ua" </w:instrText>
            </w:r>
            <w:r>
              <w:fldChar w:fldCharType="separate"/>
            </w:r>
            <w:r>
              <w:rPr>
                <w:rStyle w:val="5"/>
                <w:rFonts w:ascii="Times New Roman" w:hAnsi="Times New Roman" w:eastAsia="Times New Roman" w:cs="Times New Roman"/>
                <w:sz w:val="24"/>
                <w:szCs w:val="24"/>
                <w:lang w:val="en-US"/>
              </w:rPr>
              <w:t>m.tanasiyeva</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chnu</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edu</w:t>
            </w:r>
            <w:r>
              <w:rPr>
                <w:rStyle w:val="5"/>
                <w:rFonts w:ascii="Times New Roman" w:hAnsi="Times New Roman" w:eastAsia="Times New Roman" w:cs="Times New Roman"/>
                <w:sz w:val="24"/>
                <w:szCs w:val="24"/>
              </w:rPr>
              <w:t>.</w:t>
            </w:r>
            <w:r>
              <w:rPr>
                <w:rStyle w:val="5"/>
                <w:rFonts w:ascii="Times New Roman" w:hAnsi="Times New Roman" w:eastAsia="Times New Roman" w:cs="Times New Roman"/>
                <w:sz w:val="24"/>
                <w:szCs w:val="24"/>
                <w:lang w:val="en-US"/>
              </w:rPr>
              <w:t>ua</w:t>
            </w:r>
            <w:r>
              <w:rPr>
                <w:rStyle w:val="5"/>
                <w:rFonts w:ascii="Times New Roman" w:hAnsi="Times New Roman" w:eastAsia="Times New Roman" w:cs="Times New Roman"/>
                <w:sz w:val="24"/>
                <w:szCs w:val="24"/>
                <w:lang w:val="en-US"/>
              </w:rPr>
              <w:fldChar w:fldCharType="end"/>
            </w:r>
            <w:r>
              <w:rPr>
                <w:rFonts w:ascii="Times New Roman" w:hAnsi="Times New Roman" w:eastAsia="Times New Roman" w:cs="Times New Roman"/>
                <w:sz w:val="24"/>
                <w:szCs w:val="24"/>
                <w:lang w:val="en-US"/>
              </w:rPr>
              <w:t xml:space="preserve">  </w:t>
            </w:r>
          </w:p>
        </w:tc>
      </w:tr>
      <w:tr w14:paraId="11E7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0EBE2BAB">
            <w:pPr>
              <w:widowControl w:val="0"/>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rPr>
              <w:t xml:space="preserve">Сторінка курсу в </w:t>
            </w:r>
            <w:r>
              <w:rPr>
                <w:rFonts w:ascii="Times New Roman" w:hAnsi="Times New Roman" w:cs="Times New Roman"/>
                <w:b/>
                <w:sz w:val="24"/>
                <w:szCs w:val="24"/>
                <w:lang w:val="en-US"/>
              </w:rPr>
              <w:t>Moodle</w:t>
            </w:r>
          </w:p>
        </w:tc>
        <w:tc>
          <w:tcPr>
            <w:tcW w:w="4815" w:type="dxa"/>
            <w:vAlign w:val="center"/>
          </w:tcPr>
          <w:p w14:paraId="04F031E5">
            <w:pPr>
              <w:widowControl w:val="0"/>
              <w:spacing w:after="0" w:line="240" w:lineRule="auto"/>
              <w:jc w:val="both"/>
              <w:rPr>
                <w:rFonts w:ascii="Times New Roman" w:hAnsi="Times New Roman" w:cs="Times New Roman"/>
                <w:sz w:val="24"/>
                <w:szCs w:val="24"/>
                <w:lang w:val="ru-RU"/>
              </w:rPr>
            </w:pPr>
          </w:p>
        </w:tc>
      </w:tr>
      <w:tr w14:paraId="784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vAlign w:val="center"/>
          </w:tcPr>
          <w:p w14:paraId="6F6D732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Консультації</w:t>
            </w:r>
          </w:p>
        </w:tc>
        <w:tc>
          <w:tcPr>
            <w:tcW w:w="4815" w:type="dxa"/>
            <w:vAlign w:val="center"/>
          </w:tcPr>
          <w:p w14:paraId="78DF025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14:paraId="59769CAE">
      <w:pPr>
        <w:widowControl w:val="0"/>
        <w:spacing w:after="0" w:line="240" w:lineRule="auto"/>
        <w:jc w:val="both"/>
        <w:rPr>
          <w:rFonts w:ascii="Times New Roman" w:hAnsi="Times New Roman" w:cs="Times New Roman"/>
          <w:sz w:val="28"/>
          <w:szCs w:val="28"/>
        </w:rPr>
      </w:pPr>
    </w:p>
    <w:p w14:paraId="2E86EC85">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Анотація навчальної дисципліни</w:t>
      </w:r>
    </w:p>
    <w:p w14:paraId="2E78FC93">
      <w:pPr>
        <w:pStyle w:val="10"/>
        <w:ind w:firstLine="709"/>
        <w:jc w:val="both"/>
        <w:rPr>
          <w:sz w:val="28"/>
          <w:szCs w:val="28"/>
          <w:highlight w:val="yellow"/>
          <w:lang w:val="uk-UA"/>
        </w:rPr>
      </w:pPr>
      <w:r>
        <w:rPr>
          <w:sz w:val="28"/>
          <w:szCs w:val="28"/>
          <w:lang w:val="uk-UA"/>
        </w:rPr>
        <w:t>Інтеграція України зі світовим економічним простором, залучення іноземних інвестицій, формування відкритої економіки, призначенням якої є сприяння підвищенню ефективності та конкурентоспроможності, потребують уніфікації вітчизняної системи обліку із системами країн-контрагентів задля достовірного, зрозумілого та прозорого відображення результатів співпраці. Зрозуміло, що раціонально налагоджена система обліку, яка відповідає міжнародним стандартам фінансової звітності, виконує функцію фінансового центру управлінської інформаційної системи, одним із завдань якої є створення бази, потрібної для аналізу, інтерпретації та використання інформації з метою залучення іноземних партнерів та інвесторів. Все це потребує підготовки висококваліфікованих кадрів зі спеціальності «Облік і оподаткування», які б на належному рівні були обізнаними у: особливостях функціонування систем обліку країн ЄС з врахуванням їх специфіки; теоретичних та практичних аспектах ведення фінансового обліку в країнах ЄС; застосуванні міжнародних стандартів бухгалтерського обліку, специфіці облікової термінології в країнах ЄС; відмінностях та характерних рисах обліку та звітності в окремих країнах ЄС.</w:t>
      </w:r>
    </w:p>
    <w:p w14:paraId="08603852">
      <w:pPr>
        <w:pStyle w:val="11"/>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Мета навчальної дисципліни (Облікова система країн ЄС):</w:t>
      </w:r>
      <w:r>
        <w:rPr>
          <w:rFonts w:ascii="Times New Roman" w:hAnsi="Times New Roman"/>
          <w:b/>
          <w:sz w:val="28"/>
          <w:szCs w:val="28"/>
          <w:lang w:val="uk-UA"/>
        </w:rPr>
        <w:t xml:space="preserve"> </w:t>
      </w:r>
      <w:r>
        <w:rPr>
          <w:rFonts w:ascii="Times New Roman" w:hAnsi="Times New Roman"/>
          <w:spacing w:val="-5"/>
          <w:sz w:val="28"/>
          <w:szCs w:val="28"/>
          <w:lang w:val="uk-UA"/>
        </w:rPr>
        <w:t xml:space="preserve">оволодіння  базовими теоретичними знаннями і набуття практичних навичок щодо особливостей </w:t>
      </w:r>
      <w:r>
        <w:rPr>
          <w:rStyle w:val="12"/>
          <w:rFonts w:ascii="Times New Roman" w:hAnsi="Times New Roman"/>
          <w:color w:val="000000"/>
          <w:sz w:val="28"/>
          <w:szCs w:val="28"/>
          <w:lang w:val="uk-UA" w:eastAsia="uk-UA"/>
        </w:rPr>
        <w:t>системи обліку основних фінансово-господарських операцій суб’єктів підприємництва у країнах ЄС.</w:t>
      </w:r>
    </w:p>
    <w:p w14:paraId="49E2BB47">
      <w:pPr>
        <w:widowControl w:val="0"/>
        <w:spacing w:after="0" w:line="240" w:lineRule="auto"/>
        <w:ind w:firstLine="567"/>
        <w:jc w:val="both"/>
        <w:rPr>
          <w:rFonts w:ascii="Times New Roman" w:hAnsi="Times New Roman" w:cs="Times New Roman"/>
          <w:sz w:val="28"/>
          <w:szCs w:val="28"/>
        </w:rPr>
      </w:pPr>
    </w:p>
    <w:p w14:paraId="650DBFB8">
      <w:pPr>
        <w:widowControl w:val="0"/>
        <w:spacing w:after="0" w:line="240" w:lineRule="auto"/>
        <w:jc w:val="center"/>
        <w:rPr>
          <w:rFonts w:ascii="Times New Roman" w:hAnsi="Times New Roman" w:cs="Times New Roman"/>
          <w:b/>
          <w:caps/>
          <w:sz w:val="28"/>
          <w:szCs w:val="28"/>
        </w:rPr>
      </w:pPr>
    </w:p>
    <w:p w14:paraId="3C6C40A0">
      <w:pPr>
        <w:widowControl w:val="0"/>
        <w:spacing w:after="0" w:line="240" w:lineRule="auto"/>
        <w:jc w:val="center"/>
        <w:rPr>
          <w:rFonts w:ascii="Times New Roman" w:hAnsi="Times New Roman" w:cs="Times New Roman"/>
          <w:b/>
          <w:caps/>
          <w:sz w:val="28"/>
          <w:szCs w:val="28"/>
        </w:rPr>
      </w:pPr>
    </w:p>
    <w:p w14:paraId="1692794B">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Навчальний контент освітньої компоненти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14:paraId="1E44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41661BA3">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1. </w:t>
            </w:r>
            <w:r>
              <w:rPr>
                <w:rFonts w:ascii="Times New Roman" w:hAnsi="Times New Roman" w:cs="Times New Roman"/>
                <w:b/>
                <w:bCs/>
                <w:sz w:val="24"/>
              </w:rPr>
              <w:t>ЗАГАЛЬНІ ПРИНЦИПИ ОБЛІКУ В КРАЇНАХ ЄС</w:t>
            </w:r>
          </w:p>
        </w:tc>
      </w:tr>
      <w:tr w14:paraId="0DDF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2587DFA3">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1</w:t>
            </w:r>
          </w:p>
        </w:tc>
        <w:tc>
          <w:tcPr>
            <w:tcW w:w="8216" w:type="dxa"/>
          </w:tcPr>
          <w:p w14:paraId="37E148D9">
            <w:pPr>
              <w:spacing w:after="0" w:line="240" w:lineRule="auto"/>
              <w:jc w:val="both"/>
              <w:rPr>
                <w:rFonts w:ascii="Times New Roman" w:hAnsi="Times New Roman" w:cs="Times New Roman"/>
                <w:sz w:val="24"/>
              </w:rPr>
            </w:pPr>
            <w:r>
              <w:rPr>
                <w:rFonts w:ascii="Times New Roman" w:hAnsi="Times New Roman" w:cs="Times New Roman"/>
                <w:sz w:val="24"/>
              </w:rPr>
              <w:t>Загальноприйняті принципи та системи обліку у зарубіжних країнах.</w:t>
            </w:r>
          </w:p>
        </w:tc>
      </w:tr>
      <w:tr w14:paraId="744B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232DD5CA">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2</w:t>
            </w:r>
          </w:p>
        </w:tc>
        <w:tc>
          <w:tcPr>
            <w:tcW w:w="8216" w:type="dxa"/>
          </w:tcPr>
          <w:p w14:paraId="49E49966">
            <w:pPr>
              <w:spacing w:after="0" w:line="240" w:lineRule="auto"/>
              <w:jc w:val="both"/>
              <w:rPr>
                <w:rFonts w:ascii="Times New Roman" w:hAnsi="Times New Roman" w:cs="Times New Roman"/>
                <w:sz w:val="24"/>
              </w:rPr>
            </w:pPr>
            <w:r>
              <w:rPr>
                <w:rFonts w:ascii="Times New Roman" w:hAnsi="Times New Roman" w:cs="Times New Roman"/>
                <w:bCs/>
                <w:sz w:val="24"/>
              </w:rPr>
              <w:t>Міжнародні стандарти бухгалтерського обліку та фінансової звітності в країнах ЄС.</w:t>
            </w:r>
          </w:p>
        </w:tc>
      </w:tr>
      <w:tr w14:paraId="22B9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8A99028">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3</w:t>
            </w:r>
          </w:p>
        </w:tc>
        <w:tc>
          <w:tcPr>
            <w:tcW w:w="8216" w:type="dxa"/>
          </w:tcPr>
          <w:p w14:paraId="199177C8">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bCs/>
                <w:sz w:val="24"/>
              </w:rPr>
              <w:t>Методика формування звітності за міжнародними стандартами в ЄС.</w:t>
            </w:r>
          </w:p>
        </w:tc>
      </w:tr>
      <w:tr w14:paraId="2E1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5064AA27">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4</w:t>
            </w:r>
          </w:p>
        </w:tc>
        <w:tc>
          <w:tcPr>
            <w:tcW w:w="8216" w:type="dxa"/>
          </w:tcPr>
          <w:p w14:paraId="32CF15FD">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bCs/>
                <w:sz w:val="24"/>
              </w:rPr>
              <w:t>Регулювання обліку в країнах ЄС.</w:t>
            </w:r>
          </w:p>
        </w:tc>
      </w:tr>
      <w:tr w14:paraId="2890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6F3DAECA">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2. </w:t>
            </w:r>
            <w:r>
              <w:rPr>
                <w:rFonts w:ascii="Times New Roman" w:hAnsi="Times New Roman" w:cs="Times New Roman"/>
                <w:b/>
                <w:bCs/>
                <w:sz w:val="24"/>
                <w:szCs w:val="24"/>
              </w:rPr>
              <w:t>БУХГАЛТЕРСЬКИЙ ОБЛІК В КРАЇНАХ</w:t>
            </w:r>
            <w:r>
              <w:rPr>
                <w:rFonts w:ascii="Times New Roman" w:hAnsi="Times New Roman" w:cs="Times New Roman"/>
                <w:b/>
                <w:bCs/>
                <w:sz w:val="24"/>
              </w:rPr>
              <w:t xml:space="preserve"> ЄС</w:t>
            </w:r>
          </w:p>
        </w:tc>
      </w:tr>
      <w:tr w14:paraId="364D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AE250D6">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5</w:t>
            </w:r>
          </w:p>
        </w:tc>
        <w:tc>
          <w:tcPr>
            <w:tcW w:w="8216" w:type="dxa"/>
          </w:tcPr>
          <w:p w14:paraId="05354B10">
            <w:pPr>
              <w:spacing w:after="0" w:line="240" w:lineRule="auto"/>
              <w:jc w:val="both"/>
              <w:rPr>
                <w:rFonts w:ascii="Times New Roman" w:hAnsi="Times New Roman" w:cs="Times New Roman"/>
                <w:bCs/>
                <w:sz w:val="24"/>
              </w:rPr>
            </w:pPr>
            <w:r>
              <w:rPr>
                <w:rFonts w:ascii="Times New Roman" w:hAnsi="Times New Roman" w:cs="Times New Roman"/>
                <w:bCs/>
                <w:sz w:val="24"/>
              </w:rPr>
              <w:t>Система обліку у Великобританії.</w:t>
            </w:r>
          </w:p>
        </w:tc>
      </w:tr>
      <w:tr w14:paraId="535D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6142EE3">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6</w:t>
            </w:r>
          </w:p>
        </w:tc>
        <w:tc>
          <w:tcPr>
            <w:tcW w:w="8216" w:type="dxa"/>
          </w:tcPr>
          <w:p w14:paraId="5EE074EF">
            <w:pPr>
              <w:spacing w:after="0" w:line="240" w:lineRule="auto"/>
              <w:jc w:val="both"/>
              <w:rPr>
                <w:rFonts w:ascii="Times New Roman" w:hAnsi="Times New Roman" w:cs="Times New Roman"/>
                <w:bCs/>
                <w:sz w:val="24"/>
              </w:rPr>
            </w:pPr>
            <w:r>
              <w:rPr>
                <w:rFonts w:ascii="Times New Roman" w:hAnsi="Times New Roman" w:cs="Times New Roman"/>
                <w:bCs/>
                <w:sz w:val="24"/>
              </w:rPr>
              <w:t>Система обліку в Німеччині.</w:t>
            </w:r>
          </w:p>
        </w:tc>
      </w:tr>
      <w:tr w14:paraId="6727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9ADD616">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7</w:t>
            </w:r>
          </w:p>
        </w:tc>
        <w:tc>
          <w:tcPr>
            <w:tcW w:w="8216" w:type="dxa"/>
          </w:tcPr>
          <w:p w14:paraId="034B7BB2">
            <w:pPr>
              <w:widowControl w:val="0"/>
              <w:spacing w:after="0" w:line="240" w:lineRule="auto"/>
              <w:jc w:val="both"/>
              <w:rPr>
                <w:rFonts w:ascii="Times New Roman" w:hAnsi="Times New Roman" w:cs="Times New Roman"/>
                <w:sz w:val="24"/>
              </w:rPr>
            </w:pPr>
            <w:r>
              <w:rPr>
                <w:rFonts w:ascii="Times New Roman" w:hAnsi="Times New Roman" w:cs="Times New Roman"/>
                <w:sz w:val="24"/>
              </w:rPr>
              <w:t>Система обліку у Франції.</w:t>
            </w:r>
          </w:p>
        </w:tc>
      </w:tr>
      <w:tr w14:paraId="01F9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3FB8962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8</w:t>
            </w:r>
          </w:p>
        </w:tc>
        <w:tc>
          <w:tcPr>
            <w:tcW w:w="8216" w:type="dxa"/>
          </w:tcPr>
          <w:p w14:paraId="206BE09E">
            <w:pPr>
              <w:widowControl w:val="0"/>
              <w:spacing w:after="0" w:line="240" w:lineRule="auto"/>
              <w:jc w:val="both"/>
              <w:rPr>
                <w:rFonts w:ascii="Times New Roman" w:hAnsi="Times New Roman" w:cs="Times New Roman"/>
                <w:sz w:val="24"/>
              </w:rPr>
            </w:pPr>
            <w:r>
              <w:rPr>
                <w:rFonts w:ascii="Times New Roman" w:hAnsi="Times New Roman" w:cs="Times New Roman"/>
                <w:bCs/>
                <w:sz w:val="24"/>
              </w:rPr>
              <w:t>Система обліку в прибалтійських країнах.</w:t>
            </w:r>
          </w:p>
        </w:tc>
      </w:tr>
      <w:tr w14:paraId="6D4B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1F6BF84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9</w:t>
            </w:r>
          </w:p>
        </w:tc>
        <w:tc>
          <w:tcPr>
            <w:tcW w:w="8216" w:type="dxa"/>
          </w:tcPr>
          <w:p w14:paraId="5CCCE915">
            <w:pPr>
              <w:widowControl w:val="0"/>
              <w:spacing w:after="0" w:line="240" w:lineRule="auto"/>
              <w:jc w:val="both"/>
              <w:rPr>
                <w:rFonts w:ascii="Times New Roman" w:hAnsi="Times New Roman" w:cs="Times New Roman"/>
                <w:sz w:val="24"/>
              </w:rPr>
            </w:pPr>
            <w:r>
              <w:rPr>
                <w:rFonts w:ascii="Times New Roman" w:hAnsi="Times New Roman" w:cs="Times New Roman"/>
                <w:bCs/>
                <w:sz w:val="24"/>
              </w:rPr>
              <w:t>Системи обліку в країнах Центральної та Східної Європи.</w:t>
            </w:r>
          </w:p>
        </w:tc>
      </w:tr>
    </w:tbl>
    <w:p w14:paraId="2CD97414">
      <w:pPr>
        <w:widowControl w:val="0"/>
        <w:spacing w:after="0" w:line="240" w:lineRule="auto"/>
        <w:jc w:val="both"/>
        <w:rPr>
          <w:rFonts w:ascii="Times New Roman" w:hAnsi="Times New Roman" w:cs="Times New Roman"/>
          <w:sz w:val="28"/>
          <w:szCs w:val="28"/>
        </w:rPr>
      </w:pPr>
    </w:p>
    <w:p w14:paraId="7519D1EF">
      <w:pPr>
        <w:pStyle w:val="10"/>
        <w:jc w:val="center"/>
        <w:rPr>
          <w:rFonts w:asciiTheme="majorBidi" w:hAnsiTheme="majorBidi" w:cstheme="majorBidi"/>
          <w:b/>
          <w:color w:val="auto"/>
          <w:kern w:val="24"/>
          <w:sz w:val="28"/>
          <w:szCs w:val="28"/>
          <w:lang w:val="uk-UA"/>
        </w:rPr>
      </w:pPr>
      <w:r>
        <w:rPr>
          <w:rFonts w:asciiTheme="majorBidi" w:hAnsiTheme="majorBidi" w:cstheme="majorBidi"/>
          <w:b/>
          <w:color w:val="auto"/>
          <w:kern w:val="24"/>
          <w:sz w:val="28"/>
          <w:szCs w:val="28"/>
          <w:lang w:val="uk-UA"/>
        </w:rPr>
        <w:t>ФОРМИ, МЕТОДИ ТА</w:t>
      </w:r>
      <w:r>
        <w:rPr>
          <w:rFonts w:asciiTheme="majorBidi" w:hAnsiTheme="majorBidi" w:cstheme="majorBidi"/>
          <w:b/>
          <w:color w:val="auto"/>
          <w:kern w:val="24"/>
          <w:sz w:val="28"/>
          <w:szCs w:val="28"/>
        </w:rPr>
        <w:t xml:space="preserve"> ОСВІТНІ ТЕХНОЛОГІЇ</w:t>
      </w:r>
      <w:r>
        <w:rPr>
          <w:rFonts w:asciiTheme="majorBidi" w:hAnsiTheme="majorBidi" w:cstheme="majorBidi"/>
          <w:b/>
          <w:color w:val="auto"/>
          <w:kern w:val="24"/>
          <w:sz w:val="28"/>
          <w:szCs w:val="28"/>
          <w:lang w:val="uk-UA"/>
        </w:rPr>
        <w:t xml:space="preserve"> </w:t>
      </w:r>
      <w:r>
        <w:rPr>
          <w:rFonts w:asciiTheme="majorBidi" w:hAnsiTheme="majorBidi" w:cstheme="majorBidi"/>
          <w:b/>
          <w:color w:val="auto"/>
          <w:kern w:val="24"/>
          <w:sz w:val="28"/>
          <w:szCs w:val="28"/>
        </w:rPr>
        <w:t>НАВЧАННЯ</w:t>
      </w:r>
    </w:p>
    <w:p w14:paraId="245C483C">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процесі вивчення навчальної дисципліни використовуються освітні технології інтенсифікації навчання на основі опорних схем і моделей, модульно-блочного навчання; вербальні методи (лекція, бесіда, пояснення, розповідь та інші); практичні методи (семінари, практичні та ситуаційні завдання);  наочні методи (презентація, демонстрація, ілюстрація); проблемно-пошукові методи; робота з інформаційними ресурсами (нормативними джерелами, навчально-методичною та науковою літературою, інтернет-ресурсами); самостійна робота над індивідуальним завданням за програмою навчальної дисципліни; дистанційне навчання з використанням системи Moodle; і</w:t>
      </w:r>
      <w:r>
        <w:rPr>
          <w:rFonts w:ascii="Times New Roman" w:hAnsi="Times New Roman" w:eastAsia="Malgun Gothic Semilight" w:cs="Times New Roman"/>
          <w:sz w:val="28"/>
          <w:szCs w:val="28"/>
        </w:rPr>
        <w:t>нш</w:t>
      </w:r>
      <w:r>
        <w:rPr>
          <w:rFonts w:ascii="Times New Roman" w:hAnsi="Times New Roman" w:cs="Times New Roman"/>
          <w:sz w:val="28"/>
          <w:szCs w:val="28"/>
        </w:rPr>
        <w:t xml:space="preserve">і </w:t>
      </w:r>
      <w:r>
        <w:rPr>
          <w:rFonts w:ascii="Times New Roman" w:hAnsi="Times New Roman" w:eastAsia="Malgun Gothic Semilight" w:cs="Times New Roman"/>
          <w:sz w:val="28"/>
          <w:szCs w:val="28"/>
        </w:rPr>
        <w:t>методи навчання.</w:t>
      </w:r>
    </w:p>
    <w:p w14:paraId="62550AAA">
      <w:pPr>
        <w:widowControl w:val="0"/>
        <w:spacing w:after="0" w:line="240" w:lineRule="auto"/>
        <w:jc w:val="both"/>
        <w:rPr>
          <w:rFonts w:ascii="Times New Roman" w:hAnsi="Times New Roman" w:cs="Times New Roman"/>
          <w:sz w:val="28"/>
          <w:szCs w:val="28"/>
        </w:rPr>
      </w:pPr>
    </w:p>
    <w:p w14:paraId="620C0F14">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Форми й методи контролю та оцінювання</w:t>
      </w:r>
    </w:p>
    <w:p w14:paraId="22803B1F">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Pr>
          <w:rFonts w:ascii="Times New Roman" w:hAnsi="Times New Roman" w:eastAsia="Arial Unicode MS" w:cs="Times New Roman"/>
          <w:color w:val="000000"/>
          <w:sz w:val="28"/>
          <w:szCs w:val="28"/>
          <w:lang w:bidi="en-US"/>
        </w:rPr>
        <w:t>фронтальне опитування; індивідуальне опитування; с</w:t>
      </w:r>
      <w:r>
        <w:rPr>
          <w:rFonts w:ascii="Times New Roman" w:hAnsi="Times New Roman" w:eastAsia="Malgun Gothic Semilight" w:cs="Times New Roman"/>
          <w:color w:val="000000"/>
          <w:sz w:val="28"/>
          <w:szCs w:val="28"/>
          <w:lang w:bidi="en-US"/>
        </w:rPr>
        <w:t>тандартизован</w:t>
      </w:r>
      <w:r>
        <w:rPr>
          <w:rFonts w:ascii="Times New Roman" w:hAnsi="Times New Roman" w:eastAsia="Arial Unicode MS" w:cs="Times New Roman"/>
          <w:color w:val="000000"/>
          <w:sz w:val="28"/>
          <w:szCs w:val="28"/>
          <w:lang w:bidi="en-US"/>
        </w:rPr>
        <w:t xml:space="preserve">і </w:t>
      </w:r>
      <w:r>
        <w:rPr>
          <w:rFonts w:ascii="Times New Roman" w:hAnsi="Times New Roman" w:eastAsia="Malgun Gothic Semilight" w:cs="Times New Roman"/>
          <w:color w:val="000000"/>
          <w:sz w:val="28"/>
          <w:szCs w:val="28"/>
          <w:lang w:bidi="en-US"/>
        </w:rPr>
        <w:t>тести</w:t>
      </w:r>
      <w:r>
        <w:rPr>
          <w:rFonts w:ascii="Times New Roman" w:hAnsi="Times New Roman" w:eastAsia="Arial Unicode MS" w:cs="Times New Roman"/>
          <w:color w:val="000000"/>
          <w:sz w:val="28"/>
          <w:szCs w:val="28"/>
          <w:lang w:bidi="en-US"/>
        </w:rPr>
        <w:t xml:space="preserve">; розв’язування практичних ситуацій; тематичні контрольні роботи; презентація результатів виконання індивідуальних та командних завдань (наукових, розрахункових, аналітичних та інших); виступи та </w:t>
      </w:r>
      <w:r>
        <w:rPr>
          <w:rFonts w:ascii="Times New Roman" w:hAnsi="Times New Roman" w:eastAsia="Malgun Gothic Semilight" w:cs="Times New Roman"/>
          <w:color w:val="000000"/>
          <w:sz w:val="28"/>
          <w:szCs w:val="28"/>
          <w:lang w:bidi="en-US"/>
        </w:rPr>
        <w:t>презентац</w:t>
      </w:r>
      <w:r>
        <w:rPr>
          <w:rFonts w:ascii="Times New Roman" w:hAnsi="Times New Roman" w:eastAsia="Arial Unicode MS" w:cs="Times New Roman"/>
          <w:color w:val="000000"/>
          <w:sz w:val="28"/>
          <w:szCs w:val="28"/>
          <w:lang w:bidi="en-US"/>
        </w:rPr>
        <w:t xml:space="preserve">ії здобувачів </w:t>
      </w:r>
      <w:r>
        <w:rPr>
          <w:rFonts w:ascii="Times New Roman" w:hAnsi="Times New Roman" w:eastAsia="Malgun Gothic Semilight" w:cs="Times New Roman"/>
          <w:color w:val="000000"/>
          <w:sz w:val="28"/>
          <w:szCs w:val="28"/>
          <w:lang w:bidi="en-US"/>
        </w:rPr>
        <w:t>на</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науково-практичних</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заходах</w:t>
      </w:r>
      <w:r>
        <w:rPr>
          <w:rFonts w:ascii="Times New Roman" w:hAnsi="Times New Roman" w:eastAsia="Arial Unicode MS" w:cs="Times New Roman"/>
          <w:color w:val="000000"/>
          <w:sz w:val="28"/>
          <w:szCs w:val="28"/>
          <w:lang w:bidi="en-US"/>
        </w:rPr>
        <w:t>; і</w:t>
      </w:r>
      <w:r>
        <w:rPr>
          <w:rFonts w:ascii="Times New Roman" w:hAnsi="Times New Roman" w:eastAsia="Malgun Gothic Semilight" w:cs="Times New Roman"/>
          <w:color w:val="000000"/>
          <w:sz w:val="28"/>
          <w:szCs w:val="28"/>
          <w:lang w:bidi="en-US"/>
        </w:rPr>
        <w:t>нш</w:t>
      </w:r>
      <w:r>
        <w:rPr>
          <w:rFonts w:ascii="Times New Roman" w:hAnsi="Times New Roman" w:eastAsia="Arial Unicode MS" w:cs="Times New Roman"/>
          <w:color w:val="000000"/>
          <w:sz w:val="28"/>
          <w:szCs w:val="28"/>
          <w:lang w:bidi="en-US"/>
        </w:rPr>
        <w:t xml:space="preserve">і </w:t>
      </w:r>
      <w:r>
        <w:rPr>
          <w:rFonts w:ascii="Times New Roman" w:hAnsi="Times New Roman" w:eastAsia="Malgun Gothic Semilight" w:cs="Times New Roman"/>
          <w:color w:val="000000"/>
          <w:sz w:val="28"/>
          <w:szCs w:val="28"/>
          <w:lang w:bidi="en-US"/>
        </w:rPr>
        <w:t>види</w:t>
      </w:r>
      <w:r>
        <w:rPr>
          <w:rFonts w:ascii="Times New Roman" w:hAnsi="Times New Roman" w:eastAsia="Arial Unicode MS" w:cs="Times New Roman"/>
          <w:color w:val="000000"/>
          <w:sz w:val="28"/>
          <w:szCs w:val="28"/>
          <w:lang w:bidi="en-US"/>
        </w:rPr>
        <w:t xml:space="preserve"> і</w:t>
      </w:r>
      <w:r>
        <w:rPr>
          <w:rFonts w:ascii="Times New Roman" w:hAnsi="Times New Roman" w:eastAsia="Malgun Gothic Semilight" w:cs="Times New Roman"/>
          <w:color w:val="000000"/>
          <w:sz w:val="28"/>
          <w:szCs w:val="28"/>
          <w:lang w:bidi="en-US"/>
        </w:rPr>
        <w:t>ндив</w:t>
      </w:r>
      <w:r>
        <w:rPr>
          <w:rFonts w:ascii="Times New Roman" w:hAnsi="Times New Roman" w:eastAsia="Arial Unicode MS" w:cs="Times New Roman"/>
          <w:color w:val="000000"/>
          <w:sz w:val="28"/>
          <w:szCs w:val="28"/>
          <w:lang w:bidi="en-US"/>
        </w:rPr>
        <w:t>і</w:t>
      </w:r>
      <w:r>
        <w:rPr>
          <w:rFonts w:ascii="Times New Roman" w:hAnsi="Times New Roman" w:eastAsia="Malgun Gothic Semilight" w:cs="Times New Roman"/>
          <w:color w:val="000000"/>
          <w:sz w:val="28"/>
          <w:szCs w:val="28"/>
          <w:lang w:bidi="en-US"/>
        </w:rPr>
        <w:t>дуальних</w:t>
      </w:r>
      <w:r>
        <w:rPr>
          <w:rFonts w:ascii="Times New Roman" w:hAnsi="Times New Roman" w:eastAsia="Arial Unicode MS" w:cs="Times New Roman"/>
          <w:color w:val="000000"/>
          <w:sz w:val="28"/>
          <w:szCs w:val="28"/>
          <w:lang w:bidi="en-US"/>
        </w:rPr>
        <w:t xml:space="preserve"> </w:t>
      </w:r>
      <w:r>
        <w:rPr>
          <w:rFonts w:ascii="Times New Roman" w:hAnsi="Times New Roman" w:eastAsia="Malgun Gothic Semilight" w:cs="Times New Roman"/>
          <w:color w:val="000000"/>
          <w:sz w:val="28"/>
          <w:szCs w:val="28"/>
          <w:lang w:bidi="en-US"/>
        </w:rPr>
        <w:t>та</w:t>
      </w:r>
      <w:r>
        <w:rPr>
          <w:rFonts w:ascii="Times New Roman" w:hAnsi="Times New Roman" w:eastAsia="Arial Unicode MS" w:cs="Times New Roman"/>
          <w:color w:val="000000"/>
          <w:sz w:val="28"/>
          <w:szCs w:val="28"/>
          <w:lang w:bidi="en-US"/>
        </w:rPr>
        <w:t xml:space="preserve"> групових завдань.</w:t>
      </w:r>
    </w:p>
    <w:p w14:paraId="50A19D79">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Підсумковий контроль: залік.</w:t>
      </w:r>
    </w:p>
    <w:p w14:paraId="1211D008">
      <w:pPr>
        <w:widowControl w:val="0"/>
        <w:spacing w:after="0" w:line="240" w:lineRule="auto"/>
        <w:jc w:val="both"/>
        <w:rPr>
          <w:rFonts w:ascii="Times New Roman" w:hAnsi="Times New Roman" w:cs="Times New Roman"/>
          <w:sz w:val="28"/>
          <w:szCs w:val="28"/>
        </w:rPr>
      </w:pPr>
    </w:p>
    <w:p w14:paraId="789F3E6D">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Критерії оцінювання результатів навчання</w:t>
      </w:r>
    </w:p>
    <w:p w14:paraId="43CD24AE">
      <w:pPr>
        <w:pStyle w:val="6"/>
        <w:widowControl w:val="0"/>
        <w:spacing w:before="0" w:beforeAutospacing="0" w:after="0" w:afterAutospacing="0"/>
        <w:ind w:firstLine="567"/>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p>
    <w:p w14:paraId="72D75F20">
      <w:pPr>
        <w:pStyle w:val="6"/>
        <w:widowControl w:val="0"/>
        <w:spacing w:before="0" w:beforeAutospacing="0" w:after="0" w:afterAutospacing="0"/>
        <w:ind w:firstLine="567"/>
        <w:jc w:val="both"/>
        <w:rPr>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14:paraId="62B95EE7">
      <w:pPr>
        <w:widowControl w:val="0"/>
        <w:spacing w:after="0" w:line="240" w:lineRule="auto"/>
        <w:jc w:val="both"/>
        <w:rPr>
          <w:rFonts w:ascii="Times New Roman" w:hAnsi="Times New Roman" w:cs="Times New Roman"/>
          <w:sz w:val="28"/>
          <w:szCs w:val="28"/>
        </w:rPr>
      </w:pPr>
    </w:p>
    <w:p w14:paraId="6BC1A940">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Політика щодо академічної доброчесності</w:t>
      </w:r>
    </w:p>
    <w:p w14:paraId="5847A2ED">
      <w:pPr>
        <w:pStyle w:val="8"/>
        <w:ind w:left="0" w:firstLine="56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7FF5FE52">
      <w:pPr>
        <w:pStyle w:val="8"/>
        <w:numPr>
          <w:ilvl w:val="0"/>
          <w:numId w:val="1"/>
        </w:numPr>
        <w:tabs>
          <w:tab w:val="left" w:pos="851"/>
        </w:tabs>
        <w:ind w:left="0" w:firstLine="567"/>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Етичний кодекс </w:t>
      </w:r>
      <w:r>
        <w:rPr>
          <w:bCs/>
          <w:color w:val="000000" w:themeColor="text1"/>
          <w:spacing w:val="-4"/>
          <w:sz w:val="28"/>
          <w:szCs w:val="28"/>
          <w14:textFill>
            <w14:solidFill>
              <w14:schemeClr w14:val="tx1"/>
            </w14:solidFill>
          </w14:textFill>
        </w:rPr>
        <w:t xml:space="preserve">Чернівецького національного університету імені Юрія Федьковича. </w:t>
      </w:r>
      <w:r>
        <w:rPr>
          <w:bCs/>
          <w:color w:val="000000" w:themeColor="text1"/>
          <w:sz w:val="28"/>
          <w:szCs w:val="28"/>
          <w:lang w:val="en-US"/>
          <w14:textFill>
            <w14:solidFill>
              <w14:schemeClr w14:val="tx1"/>
            </w14:solidFill>
          </w14:textFill>
        </w:rPr>
        <w:t>URL</w:t>
      </w:r>
      <w:r>
        <w:rPr>
          <w:bCs/>
          <w:color w:val="000000" w:themeColor="text1"/>
          <w:sz w:val="28"/>
          <w:szCs w:val="28"/>
          <w14:textFill>
            <w14:solidFill>
              <w14:schemeClr w14:val="tx1"/>
            </w14:solidFill>
          </w14:textFill>
        </w:rPr>
        <w:t xml:space="preserve">: </w:t>
      </w:r>
      <w:r>
        <w:fldChar w:fldCharType="begin"/>
      </w:r>
      <w:r>
        <w:instrText xml:space="preserve"> HYPERLINK "https://www.chnu.edu.ua/media/jxdbs0zb/etychnyi-kodeks-chernivets%20koho-natsionalnoho-universytetu.pdf" </w:instrText>
      </w:r>
      <w:r>
        <w:fldChar w:fldCharType="separate"/>
      </w:r>
      <w:r>
        <w:rPr>
          <w:rStyle w:val="5"/>
          <w:bCs/>
          <w:color w:val="0070C0"/>
          <w:sz w:val="28"/>
          <w:szCs w:val="28"/>
        </w:rPr>
        <w:t>https://www.chnu.edu.ua/media/jxdbs0zb/etychnyi-kodeks-chernivets koho-natsionalnoho-universytetu.pdf</w:t>
      </w:r>
      <w:r>
        <w:rPr>
          <w:rStyle w:val="5"/>
          <w:bCs/>
          <w:color w:val="0070C0"/>
          <w:sz w:val="28"/>
          <w:szCs w:val="28"/>
        </w:rPr>
        <w:fldChar w:fldCharType="end"/>
      </w:r>
      <w:r>
        <w:rPr>
          <w:rStyle w:val="5"/>
          <w:bCs/>
          <w:sz w:val="28"/>
          <w:szCs w:val="28"/>
        </w:rPr>
        <w:t>;</w:t>
      </w:r>
    </w:p>
    <w:p w14:paraId="32D7DB5D">
      <w:pPr>
        <w:pStyle w:val="8"/>
        <w:numPr>
          <w:ilvl w:val="0"/>
          <w:numId w:val="1"/>
        </w:numPr>
        <w:tabs>
          <w:tab w:val="left" w:pos="851"/>
        </w:tabs>
        <w:ind w:left="0" w:firstLine="567"/>
        <w:rPr>
          <w:sz w:val="28"/>
          <w:szCs w:val="28"/>
        </w:rPr>
      </w:pPr>
      <w:r>
        <w:rPr>
          <w:bCs/>
          <w:color w:val="000000" w:themeColor="text1"/>
          <w:sz w:val="28"/>
          <w:szCs w:val="28"/>
          <w14:textFill>
            <w14:solidFill>
              <w14:schemeClr w14:val="tx1"/>
            </w14:solidFill>
          </w14:textFill>
        </w:rPr>
        <w:t xml:space="preserve">Положенням про виявлення та запобігання академічного плагіату у Чернівецькому національному університету імені Юрія Федьковича. </w:t>
      </w:r>
      <w:r>
        <w:rPr>
          <w:bCs/>
          <w:color w:val="000000" w:themeColor="text1"/>
          <w:sz w:val="28"/>
          <w:szCs w:val="28"/>
          <w:lang w:val="en-US"/>
          <w14:textFill>
            <w14:solidFill>
              <w14:schemeClr w14:val="tx1"/>
            </w14:solidFill>
          </w14:textFill>
        </w:rPr>
        <w:t>URL</w:t>
      </w:r>
      <w:r>
        <w:rPr>
          <w:bCs/>
          <w:color w:val="000000" w:themeColor="text1"/>
          <w:sz w:val="28"/>
          <w:szCs w:val="28"/>
          <w14:textFill>
            <w14:solidFill>
              <w14:schemeClr w14:val="tx1"/>
            </w14:solidFill>
          </w14:textFill>
        </w:rPr>
        <w:t>: </w:t>
      </w:r>
      <w:r>
        <w:rPr>
          <w:bCs/>
          <w:color w:val="000000" w:themeColor="text1"/>
          <w:sz w:val="28"/>
          <w:szCs w:val="28"/>
          <w14:textFill>
            <w14:solidFill>
              <w14:schemeClr w14:val="tx1"/>
            </w14:solidFill>
          </w14:textFill>
        </w:rPr>
        <w:fldChar w:fldCharType="begin"/>
      </w:r>
      <w:r>
        <w:rPr>
          <w:bCs/>
          <w:color w:val="000000" w:themeColor="text1"/>
          <w:sz w:val="28"/>
          <w:szCs w:val="28"/>
          <w14:textFill>
            <w14:solidFill>
              <w14:schemeClr w14:val="tx1"/>
            </w14:solidFill>
          </w14:textFill>
        </w:rPr>
        <w:instrText xml:space="preserve"> HYPERLINK "https://www.chnu.edu.ua/media/hkzbr1b2/polozhennia-pro-vyiavlennia-ta-zapobihannia-akademichnomu-plahiatu-u-chnu-2025.pdf" </w:instrText>
      </w:r>
      <w:r>
        <w:rPr>
          <w:bCs/>
          <w:color w:val="000000" w:themeColor="text1"/>
          <w:sz w:val="28"/>
          <w:szCs w:val="28"/>
          <w14:textFill>
            <w14:solidFill>
              <w14:schemeClr w14:val="tx1"/>
            </w14:solidFill>
          </w14:textFill>
        </w:rPr>
        <w:fldChar w:fldCharType="separate"/>
      </w:r>
      <w:r>
        <w:rPr>
          <w:rStyle w:val="5"/>
          <w:bCs/>
          <w:sz w:val="28"/>
          <w:szCs w:val="28"/>
        </w:rPr>
        <w:t>https://www.chnu.edu.ua/media/hkzbr1b2/polozhennia-pro-vyiavlennia-ta-zapobihannia-akademichnomu-plahiatu-u-chnu-2025.pdf</w:t>
      </w:r>
      <w:r>
        <w:rPr>
          <w:bCs/>
          <w:color w:val="000000" w:themeColor="text1"/>
          <w:sz w:val="28"/>
          <w:szCs w:val="28"/>
          <w14:textFill>
            <w14:solidFill>
              <w14:schemeClr w14:val="tx1"/>
            </w14:solidFill>
          </w14:textFill>
        </w:rPr>
        <w:fldChar w:fldCharType="end"/>
      </w:r>
      <w:r>
        <w:rPr>
          <w:bCs/>
          <w:color w:val="000000" w:themeColor="text1"/>
          <w:sz w:val="28"/>
          <w:szCs w:val="28"/>
          <w14:textFill>
            <w14:solidFill>
              <w14:schemeClr w14:val="tx1"/>
            </w14:solidFill>
          </w14:textFill>
        </w:rPr>
        <w:t>.</w:t>
      </w:r>
    </w:p>
    <w:p w14:paraId="300C5329">
      <w:pPr>
        <w:widowControl w:val="0"/>
        <w:spacing w:after="0" w:line="240" w:lineRule="auto"/>
        <w:ind w:firstLine="567"/>
        <w:jc w:val="both"/>
        <w:rPr>
          <w:rFonts w:ascii="Times New Roman" w:hAnsi="Times New Roman" w:cs="Times New Roman"/>
          <w:sz w:val="28"/>
          <w:szCs w:val="28"/>
        </w:rPr>
      </w:pPr>
    </w:p>
    <w:p w14:paraId="3595C566">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Інформаційні ресурси</w:t>
      </w:r>
    </w:p>
    <w:p w14:paraId="68A69795">
      <w:pPr>
        <w:pStyle w:val="8"/>
        <w:tabs>
          <w:tab w:val="left" w:pos="709"/>
          <w:tab w:val="left" w:pos="993"/>
        </w:tabs>
        <w:ind w:left="0" w:firstLine="567"/>
        <w:rPr>
          <w:sz w:val="28"/>
          <w:szCs w:val="28"/>
        </w:rPr>
      </w:pPr>
      <w:r>
        <w:rPr>
          <w:sz w:val="28"/>
          <w:szCs w:val="28"/>
        </w:rPr>
        <w:t>Академічні ресурси:</w:t>
      </w:r>
    </w:p>
    <w:p w14:paraId="402CCB4A">
      <w:pPr>
        <w:pStyle w:val="8"/>
        <w:tabs>
          <w:tab w:val="left" w:pos="709"/>
          <w:tab w:val="left" w:pos="993"/>
        </w:tabs>
        <w:ind w:left="0" w:firstLine="567"/>
        <w:rPr>
          <w:sz w:val="28"/>
          <w:szCs w:val="28"/>
        </w:rPr>
      </w:pPr>
      <w:r>
        <w:rPr>
          <w:sz w:val="28"/>
          <w:szCs w:val="28"/>
        </w:rPr>
        <w:t>1. Репозитарій академічних статей, таких як Google Scholar або ResearchGate, для пошуку актуальних наукових досліджень та публікацій з курсу.</w:t>
      </w:r>
    </w:p>
    <w:p w14:paraId="2FF1F074">
      <w:pPr>
        <w:pStyle w:val="8"/>
        <w:tabs>
          <w:tab w:val="left" w:pos="709"/>
          <w:tab w:val="left" w:pos="993"/>
        </w:tabs>
        <w:ind w:left="0" w:firstLine="567"/>
        <w:rPr>
          <w:sz w:val="28"/>
          <w:szCs w:val="28"/>
        </w:rPr>
      </w:pPr>
      <w:r>
        <w:rPr>
          <w:sz w:val="28"/>
          <w:szCs w:val="28"/>
        </w:rPr>
        <w:t xml:space="preserve">2. Archer – інституційний репозитарій відкритого доступу представників Чернівецького національного університету імені Юрія Федьковича. URL: </w:t>
      </w:r>
      <w:r>
        <w:fldChar w:fldCharType="begin"/>
      </w:r>
      <w:r>
        <w:instrText xml:space="preserve"> HYPERLINK "https://archer.chnu.edu.ua" </w:instrText>
      </w:r>
      <w:r>
        <w:fldChar w:fldCharType="separate"/>
      </w:r>
      <w:r>
        <w:rPr>
          <w:rStyle w:val="5"/>
          <w:sz w:val="28"/>
          <w:szCs w:val="28"/>
        </w:rPr>
        <w:t>https://archer.chnu.edu.ua</w:t>
      </w:r>
      <w:r>
        <w:rPr>
          <w:rStyle w:val="5"/>
          <w:sz w:val="28"/>
          <w:szCs w:val="28"/>
        </w:rPr>
        <w:fldChar w:fldCharType="end"/>
      </w:r>
      <w:r>
        <w:rPr>
          <w:sz w:val="28"/>
          <w:szCs w:val="28"/>
        </w:rPr>
        <w:t>.</w:t>
      </w:r>
    </w:p>
    <w:p w14:paraId="33062D4E">
      <w:pPr>
        <w:pStyle w:val="8"/>
        <w:tabs>
          <w:tab w:val="left" w:pos="709"/>
          <w:tab w:val="left" w:pos="993"/>
        </w:tabs>
        <w:ind w:left="0" w:firstLine="567"/>
        <w:rPr>
          <w:sz w:val="28"/>
          <w:szCs w:val="28"/>
        </w:rPr>
      </w:pPr>
      <w:r>
        <w:rPr>
          <w:sz w:val="28"/>
          <w:szCs w:val="28"/>
        </w:rPr>
        <w:t>Офіційні сайти органів державного управління України:</w:t>
      </w:r>
    </w:p>
    <w:p w14:paraId="3AF7D94F">
      <w:pPr>
        <w:pStyle w:val="8"/>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Верховної Ради України. </w:t>
      </w:r>
      <w:r>
        <w:rPr>
          <w:sz w:val="28"/>
        </w:rPr>
        <w:t>URL:</w:t>
      </w:r>
      <w:r>
        <w:rPr>
          <w:sz w:val="28"/>
          <w:szCs w:val="28"/>
        </w:rPr>
        <w:t xml:space="preserve"> </w:t>
      </w:r>
      <w:r>
        <w:fldChar w:fldCharType="begin"/>
      </w:r>
      <w:r>
        <w:instrText xml:space="preserve"> HYPERLINK "http://www.rada.gov.ua/" </w:instrText>
      </w:r>
      <w:r>
        <w:fldChar w:fldCharType="separate"/>
      </w:r>
      <w:r>
        <w:rPr>
          <w:rStyle w:val="5"/>
          <w:sz w:val="28"/>
        </w:rPr>
        <w:t>www.rada.gov.ua</w:t>
      </w:r>
      <w:r>
        <w:rPr>
          <w:rStyle w:val="5"/>
          <w:sz w:val="28"/>
          <w:lang w:val="en-US"/>
        </w:rPr>
        <w:t>/</w:t>
      </w:r>
      <w:r>
        <w:rPr>
          <w:rStyle w:val="5"/>
          <w:sz w:val="28"/>
          <w:lang w:val="en-US"/>
        </w:rPr>
        <w:fldChar w:fldCharType="end"/>
      </w:r>
      <w:r>
        <w:rPr>
          <w:sz w:val="28"/>
          <w:szCs w:val="28"/>
        </w:rPr>
        <w:t xml:space="preserve">.  </w:t>
      </w:r>
    </w:p>
    <w:p w14:paraId="0DCE0119">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Pr>
          <w:sz w:val="28"/>
        </w:rPr>
        <w:t xml:space="preserve">URL: </w:t>
      </w:r>
      <w:r>
        <w:fldChar w:fldCharType="begin"/>
      </w:r>
      <w:r>
        <w:instrText xml:space="preserve"> HYPERLINK "https://www.kmu.gov.ua" </w:instrText>
      </w:r>
      <w:r>
        <w:fldChar w:fldCharType="separate"/>
      </w:r>
      <w:r>
        <w:rPr>
          <w:rStyle w:val="5"/>
          <w:sz w:val="28"/>
        </w:rPr>
        <w:t>https://www.kmu.gov.ua</w:t>
      </w:r>
      <w:r>
        <w:rPr>
          <w:rStyle w:val="5"/>
          <w:sz w:val="28"/>
        </w:rPr>
        <w:fldChar w:fldCharType="end"/>
      </w:r>
      <w:r>
        <w:rPr>
          <w:sz w:val="28"/>
        </w:rPr>
        <w:t xml:space="preserve">. </w:t>
      </w:r>
    </w:p>
    <w:p w14:paraId="1BB902FE">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казначейської служби України. </w:t>
      </w:r>
      <w:r>
        <w:rPr>
          <w:sz w:val="28"/>
        </w:rPr>
        <w:t xml:space="preserve">URL: </w:t>
      </w:r>
      <w:r>
        <w:fldChar w:fldCharType="begin"/>
      </w:r>
      <w:r>
        <w:instrText xml:space="preserve"> HYPERLINK "https://www.treasury.gov.ua" </w:instrText>
      </w:r>
      <w:r>
        <w:fldChar w:fldCharType="separate"/>
      </w:r>
      <w:r>
        <w:rPr>
          <w:rStyle w:val="5"/>
          <w:sz w:val="28"/>
        </w:rPr>
        <w:t>https://www.treasury.gov.ua</w:t>
      </w:r>
      <w:r>
        <w:rPr>
          <w:rStyle w:val="5"/>
          <w:sz w:val="28"/>
        </w:rPr>
        <w:fldChar w:fldCharType="end"/>
      </w:r>
      <w:r>
        <w:rPr>
          <w:sz w:val="28"/>
        </w:rPr>
        <w:t xml:space="preserve">. </w:t>
      </w:r>
    </w:p>
    <w:p w14:paraId="334C5F73">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Pr>
          <w:sz w:val="28"/>
        </w:rPr>
        <w:t xml:space="preserve">URL: </w:t>
      </w:r>
      <w:r>
        <w:fldChar w:fldCharType="begin"/>
      </w:r>
      <w:r>
        <w:instrText xml:space="preserve"> HYPERLINK "https://customs.gov.ua" </w:instrText>
      </w:r>
      <w:r>
        <w:fldChar w:fldCharType="separate"/>
      </w:r>
      <w:r>
        <w:rPr>
          <w:rStyle w:val="5"/>
          <w:sz w:val="28"/>
        </w:rPr>
        <w:t>https://customs.gov.ua</w:t>
      </w:r>
      <w:r>
        <w:rPr>
          <w:rStyle w:val="5"/>
          <w:sz w:val="28"/>
        </w:rPr>
        <w:fldChar w:fldCharType="end"/>
      </w:r>
      <w:r>
        <w:rPr>
          <w:sz w:val="28"/>
        </w:rPr>
        <w:t xml:space="preserve">. </w:t>
      </w:r>
    </w:p>
    <w:p w14:paraId="5FFDD872">
      <w:pPr>
        <w:pStyle w:val="8"/>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служби України. </w:t>
      </w:r>
      <w:r>
        <w:rPr>
          <w:sz w:val="28"/>
        </w:rPr>
        <w:t xml:space="preserve">URL: </w:t>
      </w:r>
      <w:r>
        <w:fldChar w:fldCharType="begin"/>
      </w:r>
      <w:r>
        <w:instrText xml:space="preserve"> HYPERLINK "https://tax.gov.ua" </w:instrText>
      </w:r>
      <w:r>
        <w:fldChar w:fldCharType="separate"/>
      </w:r>
      <w:r>
        <w:rPr>
          <w:rStyle w:val="5"/>
          <w:sz w:val="28"/>
        </w:rPr>
        <w:t>https://tax.gov.ua</w:t>
      </w:r>
      <w:r>
        <w:rPr>
          <w:rStyle w:val="5"/>
          <w:sz w:val="28"/>
        </w:rPr>
        <w:fldChar w:fldCharType="end"/>
      </w:r>
      <w:r>
        <w:rPr>
          <w:sz w:val="28"/>
        </w:rPr>
        <w:t xml:space="preserve">. </w:t>
      </w:r>
    </w:p>
    <w:p w14:paraId="2757284C">
      <w:pPr>
        <w:pStyle w:val="8"/>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Міністерства фінансів України. </w:t>
      </w:r>
      <w:r>
        <w:rPr>
          <w:sz w:val="28"/>
        </w:rPr>
        <w:t xml:space="preserve">URL: </w:t>
      </w:r>
      <w:r>
        <w:fldChar w:fldCharType="begin"/>
      </w:r>
      <w:r>
        <w:instrText xml:space="preserve"> HYPERLINK "http://www.minfin.gov.ua" </w:instrText>
      </w:r>
      <w:r>
        <w:fldChar w:fldCharType="separate"/>
      </w:r>
      <w:r>
        <w:rPr>
          <w:rStyle w:val="5"/>
          <w:sz w:val="28"/>
          <w:szCs w:val="28"/>
        </w:rPr>
        <w:t>www.minfin.gov.ua</w:t>
      </w:r>
      <w:r>
        <w:rPr>
          <w:rStyle w:val="5"/>
          <w:sz w:val="28"/>
          <w:szCs w:val="28"/>
        </w:rPr>
        <w:fldChar w:fldCharType="end"/>
      </w:r>
      <w:r>
        <w:rPr>
          <w:sz w:val="28"/>
        </w:rPr>
        <w:t xml:space="preserve">. </w:t>
      </w:r>
    </w:p>
    <w:p w14:paraId="3787242E">
      <w:pPr>
        <w:numPr>
          <w:ilvl w:val="0"/>
          <w:numId w:val="2"/>
        </w:numPr>
        <w:tabs>
          <w:tab w:val="left" w:pos="426"/>
          <w:tab w:val="left" w:pos="851"/>
        </w:tabs>
        <w:spacing w:after="0" w:line="240" w:lineRule="auto"/>
        <w:ind w:left="0" w:firstLine="567"/>
        <w:rPr>
          <w:rFonts w:ascii="Times New Roman" w:hAnsi="Times New Roman" w:cs="Times New Roman"/>
          <w:caps/>
          <w:spacing w:val="-4"/>
          <w:sz w:val="28"/>
          <w:szCs w:val="28"/>
        </w:rPr>
      </w:pPr>
      <w:r>
        <w:rPr>
          <w:rFonts w:ascii="Times New Roman" w:hAnsi="Times New Roman" w:cs="Times New Roman"/>
          <w:sz w:val="28"/>
          <w:szCs w:val="28"/>
        </w:rPr>
        <w:t xml:space="preserve">Офіційний сайт Державної Аудиторської служби України. URL: </w:t>
      </w:r>
      <w:r>
        <w:fldChar w:fldCharType="begin"/>
      </w:r>
      <w:r>
        <w:instrText xml:space="preserve"> HYPERLINK "http://www.dkrs.gov.ua/kru/uk/index" </w:instrText>
      </w:r>
      <w:r>
        <w:fldChar w:fldCharType="separate"/>
      </w:r>
      <w:r>
        <w:rPr>
          <w:rStyle w:val="5"/>
          <w:rFonts w:ascii="Times New Roman" w:hAnsi="Times New Roman" w:cs="Times New Roman"/>
          <w:sz w:val="28"/>
          <w:szCs w:val="28"/>
        </w:rPr>
        <w:t>http://www.dkrs.gov.ua/kru/uk/index</w:t>
      </w:r>
      <w:r>
        <w:rPr>
          <w:rStyle w:val="5"/>
          <w:rFonts w:ascii="Times New Roman" w:hAnsi="Times New Roman" w:cs="Times New Roman"/>
          <w:sz w:val="28"/>
          <w:szCs w:val="28"/>
        </w:rPr>
        <w:fldChar w:fldCharType="end"/>
      </w:r>
    </w:p>
    <w:p w14:paraId="5EB052CF">
      <w:pPr>
        <w:pStyle w:val="8"/>
        <w:numPr>
          <w:ilvl w:val="0"/>
          <w:numId w:val="2"/>
        </w:numPr>
        <w:tabs>
          <w:tab w:val="left" w:pos="851"/>
          <w:tab w:val="left" w:pos="980"/>
        </w:tabs>
        <w:autoSpaceDE/>
        <w:autoSpaceDN/>
        <w:ind w:left="0" w:firstLine="567"/>
        <w:contextualSpacing/>
        <w:rPr>
          <w:rStyle w:val="5"/>
          <w:color w:val="auto"/>
          <w:sz w:val="28"/>
          <w:szCs w:val="28"/>
          <w:u w:val="none"/>
        </w:rPr>
      </w:pPr>
      <w:r>
        <w:rPr>
          <w:sz w:val="28"/>
          <w:szCs w:val="28"/>
        </w:rPr>
        <w:t xml:space="preserve">Офіційний сайт Аудиторської Палати України. URL: </w:t>
      </w:r>
      <w:r>
        <w:fldChar w:fldCharType="begin"/>
      </w:r>
      <w:r>
        <w:instrText xml:space="preserve"> HYPERLINK "https://www.apu.com.ua" </w:instrText>
      </w:r>
      <w:r>
        <w:fldChar w:fldCharType="separate"/>
      </w:r>
      <w:r>
        <w:rPr>
          <w:rStyle w:val="5"/>
          <w:sz w:val="28"/>
          <w:szCs w:val="28"/>
        </w:rPr>
        <w:t>https://www.apu.com.ua</w:t>
      </w:r>
      <w:r>
        <w:rPr>
          <w:rStyle w:val="5"/>
          <w:sz w:val="28"/>
          <w:szCs w:val="28"/>
        </w:rPr>
        <w:fldChar w:fldCharType="end"/>
      </w:r>
    </w:p>
    <w:p w14:paraId="61F86A90">
      <w:pPr>
        <w:numPr>
          <w:ilvl w:val="0"/>
          <w:numId w:val="2"/>
        </w:numPr>
        <w:tabs>
          <w:tab w:val="left" w:pos="426"/>
          <w:tab w:val="left" w:pos="851"/>
        </w:tabs>
        <w:spacing w:after="0" w:line="240" w:lineRule="auto"/>
        <w:ind w:left="0" w:firstLine="567"/>
        <w:jc w:val="both"/>
        <w:rPr>
          <w:rFonts w:ascii="Times New Roman" w:hAnsi="Times New Roman" w:cs="Times New Roman"/>
          <w:caps/>
          <w:spacing w:val="-4"/>
          <w:sz w:val="28"/>
          <w:szCs w:val="28"/>
        </w:rPr>
      </w:pPr>
      <w:r>
        <w:rPr>
          <w:rFonts w:ascii="Times New Roman" w:hAnsi="Times New Roman" w:cs="Times New Roman"/>
          <w:sz w:val="28"/>
          <w:szCs w:val="28"/>
        </w:rPr>
        <w:t>Офіційний сайт Міжнародної Федерації Бухгалтерів (МФБ). URL: https://</w:t>
      </w:r>
      <w:r>
        <w:fldChar w:fldCharType="begin"/>
      </w:r>
      <w:r>
        <w:instrText xml:space="preserve"> HYPERLINK "http://www.ifac.org/" </w:instrText>
      </w:r>
      <w:r>
        <w:fldChar w:fldCharType="separate"/>
      </w:r>
      <w:r>
        <w:rPr>
          <w:rStyle w:val="5"/>
          <w:rFonts w:ascii="Times New Roman" w:hAnsi="Times New Roman" w:cs="Times New Roman"/>
          <w:sz w:val="28"/>
          <w:szCs w:val="28"/>
        </w:rPr>
        <w:t>www.ifac.org</w:t>
      </w:r>
      <w:r>
        <w:rPr>
          <w:rStyle w:val="5"/>
          <w:rFonts w:ascii="Times New Roman" w:hAnsi="Times New Roman" w:cs="Times New Roman"/>
          <w:sz w:val="28"/>
          <w:szCs w:val="28"/>
        </w:rPr>
        <w:fldChar w:fldCharType="end"/>
      </w:r>
      <w:r>
        <w:rPr>
          <w:rStyle w:val="5"/>
          <w:rFonts w:ascii="Times New Roman" w:hAnsi="Times New Roman" w:cs="Times New Roman"/>
          <w:sz w:val="28"/>
          <w:szCs w:val="28"/>
        </w:rPr>
        <w:t xml:space="preserve"> </w:t>
      </w:r>
    </w:p>
    <w:p w14:paraId="11731A56">
      <w:pPr>
        <w:numPr>
          <w:ilvl w:val="0"/>
          <w:numId w:val="2"/>
        </w:numPr>
        <w:tabs>
          <w:tab w:val="left" w:pos="426"/>
          <w:tab w:val="left" w:pos="851"/>
        </w:tabs>
        <w:spacing w:after="0" w:line="240" w:lineRule="auto"/>
        <w:ind w:left="0" w:firstLine="567"/>
        <w:jc w:val="both"/>
        <w:rPr>
          <w:rFonts w:ascii="Times New Roman" w:hAnsi="Times New Roman" w:cs="Times New Roman"/>
          <w:caps/>
          <w:spacing w:val="-4"/>
          <w:sz w:val="28"/>
          <w:szCs w:val="28"/>
        </w:rPr>
      </w:pPr>
      <w:r>
        <w:rPr>
          <w:rFonts w:ascii="Times New Roman" w:hAnsi="Times New Roman" w:cs="Times New Roman"/>
          <w:sz w:val="28"/>
          <w:szCs w:val="28"/>
        </w:rPr>
        <w:t>Офіційний сайт Асоціації дипломованих сертифікованих бухгалтерів (АССА). URL: https://</w:t>
      </w:r>
      <w:r>
        <w:fldChar w:fldCharType="begin"/>
      </w:r>
      <w:r>
        <w:instrText xml:space="preserve"> HYPERLINK "http://www.accaglobal.com" </w:instrText>
      </w:r>
      <w:r>
        <w:fldChar w:fldCharType="separate"/>
      </w:r>
      <w:r>
        <w:rPr>
          <w:rStyle w:val="5"/>
          <w:rFonts w:ascii="Times New Roman" w:hAnsi="Times New Roman" w:cs="Times New Roman"/>
          <w:sz w:val="28"/>
          <w:szCs w:val="28"/>
        </w:rPr>
        <w:t>www.accaglobal.com</w:t>
      </w:r>
      <w:r>
        <w:rPr>
          <w:rStyle w:val="5"/>
          <w:rFonts w:ascii="Times New Roman" w:hAnsi="Times New Roman" w:cs="Times New Roman"/>
          <w:sz w:val="28"/>
          <w:szCs w:val="28"/>
        </w:rPr>
        <w:fldChar w:fldCharType="end"/>
      </w:r>
    </w:p>
    <w:p w14:paraId="18264469">
      <w:pPr>
        <w:widowControl w:val="0"/>
        <w:spacing w:after="0" w:line="240" w:lineRule="auto"/>
        <w:jc w:val="both"/>
        <w:rPr>
          <w:rFonts w:ascii="Times New Roman" w:hAnsi="Times New Roman" w:cs="Times New Roman"/>
          <w:sz w:val="28"/>
          <w:szCs w:val="28"/>
        </w:rPr>
      </w:pPr>
    </w:p>
    <w:p w14:paraId="44F3E046">
      <w:pPr>
        <w:widowControl w:val="0"/>
        <w:spacing w:after="0" w:line="240" w:lineRule="auto"/>
        <w:jc w:val="both"/>
        <w:rPr>
          <w:rFonts w:ascii="Times New Roman" w:hAnsi="Times New Roman" w:cs="Times New Roman"/>
          <w:sz w:val="28"/>
          <w:szCs w:val="28"/>
        </w:rPr>
      </w:pPr>
    </w:p>
    <w:p w14:paraId="7DB49A6C">
      <w:pPr>
        <w:widowControl w:val="0"/>
        <w:spacing w:after="0" w:line="240" w:lineRule="auto"/>
        <w:jc w:val="both"/>
        <w:rPr>
          <w:rFonts w:ascii="Times New Roman" w:hAnsi="Times New Roman" w:cs="Times New Roman"/>
          <w:sz w:val="28"/>
          <w:szCs w:val="28"/>
        </w:rPr>
      </w:pPr>
    </w:p>
    <w:p w14:paraId="168E4C33">
      <w:pPr>
        <w:widowControl w:val="0"/>
        <w:spacing w:after="0" w:line="240" w:lineRule="auto"/>
        <w:jc w:val="both"/>
        <w:rPr>
          <w:rFonts w:ascii="Times New Roman" w:hAnsi="Times New Roman" w:cs="Times New Roman"/>
          <w:sz w:val="28"/>
          <w:szCs w:val="28"/>
        </w:rPr>
      </w:pPr>
    </w:p>
    <w:p w14:paraId="2B9EC9CE">
      <w:pPr>
        <w:widowControl w:val="0"/>
        <w:spacing w:after="0" w:line="240" w:lineRule="auto"/>
        <w:jc w:val="both"/>
        <w:rPr>
          <w:rFonts w:ascii="Times New Roman" w:hAnsi="Times New Roman" w:cs="Times New Roman"/>
          <w:sz w:val="28"/>
          <w:szCs w:val="28"/>
        </w:rPr>
      </w:pPr>
    </w:p>
    <w:p w14:paraId="1CBDD1FA">
      <w:pPr>
        <w:widowControl w:val="0"/>
        <w:spacing w:after="0" w:line="240" w:lineRule="auto"/>
        <w:jc w:val="both"/>
        <w:rPr>
          <w:rFonts w:ascii="Times New Roman" w:hAnsi="Times New Roman" w:cs="Times New Roman"/>
          <w:sz w:val="28"/>
          <w:szCs w:val="28"/>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algun Gothic Semilight">
    <w:panose1 w:val="020B0502040204020203"/>
    <w:charset w:val="81"/>
    <w:family w:val="swiss"/>
    <w:pitch w:val="default"/>
    <w:sig w:usb0="900002AF" w:usb1="01D77CFB" w:usb2="00000012" w:usb3="00000000" w:csb0="203E01BD" w:csb1="D7FF0000"/>
  </w:font>
  <w:font w:name="Arial Unicode MS">
    <w:altName w:val="Arial"/>
    <w:panose1 w:val="020B0604020202020204"/>
    <w:charset w:val="00"/>
    <w:family w:val="roman"/>
    <w:pitch w:val="default"/>
    <w:sig w:usb0="00000000" w:usb1="00000000" w:usb2="00000000" w:usb3="00000000" w:csb0="00000001" w:csb1="00000000"/>
  </w:font>
  <w:font w:name="+mn-e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E52B9"/>
    <w:multiLevelType w:val="multilevel"/>
    <w:tmpl w:val="031E52B9"/>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31D16957"/>
    <w:multiLevelType w:val="multilevel"/>
    <w:tmpl w:val="31D16957"/>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1063FA"/>
    <w:rsid w:val="002E5CD8"/>
    <w:rsid w:val="004139CC"/>
    <w:rsid w:val="00427B40"/>
    <w:rsid w:val="00486B62"/>
    <w:rsid w:val="005961AA"/>
    <w:rsid w:val="00672B4B"/>
    <w:rsid w:val="006A0000"/>
    <w:rsid w:val="00874AB2"/>
    <w:rsid w:val="009852F3"/>
    <w:rsid w:val="009B2B9B"/>
    <w:rsid w:val="009E205A"/>
    <w:rsid w:val="00D3198C"/>
    <w:rsid w:val="00D96168"/>
    <w:rsid w:val="00E34EE3"/>
    <w:rsid w:val="00EC155A"/>
    <w:rsid w:val="00EE2923"/>
    <w:rsid w:val="00EE6408"/>
    <w:rsid w:val="00EF7B16"/>
    <w:rsid w:val="00F1290D"/>
    <w:rsid w:val="00F33956"/>
    <w:rsid w:val="00F603A2"/>
    <w:rsid w:val="00FE378B"/>
    <w:rsid w:val="00FF20CB"/>
    <w:rsid w:val="45B2055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14:textFill>
        <w14:solidFill>
          <w14:schemeClr w14:val="folHlink"/>
        </w14:solidFill>
      </w14:textFill>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9"/>
    <w:qFormat/>
    <w:uiPriority w:val="34"/>
    <w:pPr>
      <w:widowControl w:val="0"/>
      <w:autoSpaceDE w:val="0"/>
      <w:autoSpaceDN w:val="0"/>
      <w:spacing w:after="0" w:line="240" w:lineRule="auto"/>
      <w:ind w:left="859" w:hanging="360"/>
      <w:jc w:val="both"/>
    </w:pPr>
    <w:rPr>
      <w:rFonts w:ascii="Times New Roman" w:hAnsi="Times New Roman" w:eastAsia="Times New Roman" w:cs="Times New Roman"/>
    </w:rPr>
  </w:style>
  <w:style w:type="character" w:customStyle="1" w:styleId="9">
    <w:name w:val="Абзац списка Знак"/>
    <w:link w:val="8"/>
    <w:qFormat/>
    <w:locked/>
    <w:uiPriority w:val="34"/>
    <w:rPr>
      <w:rFonts w:ascii="Times New Roman" w:hAnsi="Times New Roman" w:eastAsia="Times New Roman" w:cs="Times New Roman"/>
    </w:rPr>
  </w:style>
  <w:style w:type="paragraph" w:customStyle="1" w:styleId="10">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11">
    <w:name w:val="Абзац списка1"/>
    <w:basedOn w:val="1"/>
    <w:qFormat/>
    <w:uiPriority w:val="0"/>
    <w:pPr>
      <w:spacing w:after="200" w:line="276" w:lineRule="auto"/>
      <w:ind w:left="720"/>
      <w:contextualSpacing/>
    </w:pPr>
    <w:rPr>
      <w:rFonts w:ascii="Calibri" w:hAnsi="Calibri" w:eastAsia="Times New Roman" w:cs="Times New Roman"/>
      <w:lang w:val="ru-RU" w:eastAsia="ru-RU"/>
    </w:rPr>
  </w:style>
  <w:style w:type="character" w:customStyle="1" w:styleId="12">
    <w:name w:val="Основной текст (2)_"/>
    <w:link w:val="13"/>
    <w:qFormat/>
    <w:uiPriority w:val="0"/>
    <w:rPr>
      <w:sz w:val="26"/>
      <w:szCs w:val="26"/>
      <w:shd w:val="clear" w:color="auto" w:fill="FFFFFF"/>
    </w:rPr>
  </w:style>
  <w:style w:type="paragraph" w:customStyle="1" w:styleId="13">
    <w:name w:val="Основной текст (2)"/>
    <w:basedOn w:val="1"/>
    <w:link w:val="12"/>
    <w:qFormat/>
    <w:uiPriority w:val="0"/>
    <w:pPr>
      <w:widowControl w:val="0"/>
      <w:shd w:val="clear" w:color="auto" w:fill="FFFFFF"/>
      <w:spacing w:after="0" w:line="451" w:lineRule="exact"/>
      <w:ind w:hanging="400"/>
      <w:jc w:val="both"/>
    </w:pPr>
    <w:rPr>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4457</Words>
  <Characters>2542</Characters>
  <Lines>21</Lines>
  <Paragraphs>13</Paragraphs>
  <TotalTime>0</TotalTime>
  <ScaleCrop>false</ScaleCrop>
  <LinksUpToDate>false</LinksUpToDate>
  <CharactersWithSpaces>6986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2024-08-07T10:36:00Z</dcterms:created>
  <dc:creator>User</dc:creator>
  <cp:lastModifiedBy>ttana</cp:lastModifiedBy>
  <dcterms:modified xsi:type="dcterms:W3CDTF">2025-10-09T18:38:06Z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09158E734A2D4B59AC830D4A48A636A5_12</vt:lpwstr>
  </property>
</Properties>
</file>