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3"/>
        <w:gridCol w:w="7655"/>
      </w:tblGrid>
      <w:tr w:rsidR="002F2A68">
        <w:tc>
          <w:tcPr>
            <w:tcW w:w="1701" w:type="dxa"/>
            <w:vMerge w:val="restart"/>
            <w:vAlign w:val="center"/>
          </w:tcPr>
          <w:p w:rsidR="002F2A68" w:rsidRDefault="001B1791">
            <w:pPr>
              <w:widowControl w:val="0"/>
              <w:spacing w:after="0" w:line="240" w:lineRule="auto"/>
              <w:rPr>
                <w:rFonts w:ascii="Times New Roman" w:hAnsi="Times New Roman" w:cs="Times New Roman"/>
                <w:sz w:val="28"/>
                <w:szCs w:val="28"/>
              </w:rPr>
            </w:pPr>
            <w:r>
              <w:rPr>
                <w:b/>
                <w:noProof/>
                <w:color w:val="833C0B" w:themeColor="accent2" w:themeShade="80"/>
                <w:sz w:val="28"/>
                <w:szCs w:val="28"/>
                <w:lang w:val="ru-RU" w:eastAsia="ru-RU"/>
              </w:rPr>
              <w:drawing>
                <wp:anchor distT="0" distB="0" distL="114300" distR="114300" simplePos="0" relativeHeight="251659264" behindDoc="1" locked="0" layoutInCell="1" allowOverlap="1">
                  <wp:simplePos x="0" y="0"/>
                  <wp:positionH relativeFrom="column">
                    <wp:posOffset>-19050</wp:posOffset>
                  </wp:positionH>
                  <wp:positionV relativeFrom="paragraph">
                    <wp:posOffset>-19685</wp:posOffset>
                  </wp:positionV>
                  <wp:extent cx="1162050" cy="10160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62050" cy="1016000"/>
                          </a:xfrm>
                          <a:prstGeom prst="rect">
                            <a:avLst/>
                          </a:prstGeom>
                          <a:noFill/>
                          <a:ln>
                            <a:noFill/>
                          </a:ln>
                        </pic:spPr>
                      </pic:pic>
                    </a:graphicData>
                  </a:graphic>
                </wp:anchor>
              </w:drawing>
            </w:r>
          </w:p>
        </w:tc>
        <w:tc>
          <w:tcPr>
            <w:tcW w:w="283" w:type="dxa"/>
            <w:vAlign w:val="center"/>
          </w:tcPr>
          <w:p w:rsidR="002F2A68" w:rsidRDefault="002F2A68">
            <w:pPr>
              <w:widowControl w:val="0"/>
              <w:spacing w:after="0" w:line="240" w:lineRule="auto"/>
              <w:jc w:val="both"/>
              <w:rPr>
                <w:rFonts w:ascii="Times New Roman" w:hAnsi="Times New Roman" w:cs="Times New Roman"/>
                <w:sz w:val="28"/>
                <w:szCs w:val="28"/>
              </w:rPr>
            </w:pPr>
          </w:p>
        </w:tc>
        <w:tc>
          <w:tcPr>
            <w:tcW w:w="7655" w:type="dxa"/>
            <w:vAlign w:val="center"/>
          </w:tcPr>
          <w:p w:rsidR="002F2A68" w:rsidRDefault="001B1791">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Силабус навчальної дисципліни</w:t>
            </w:r>
          </w:p>
        </w:tc>
      </w:tr>
      <w:tr w:rsidR="002F2A68">
        <w:tc>
          <w:tcPr>
            <w:tcW w:w="1701" w:type="dxa"/>
            <w:vMerge/>
            <w:vAlign w:val="center"/>
          </w:tcPr>
          <w:p w:rsidR="002F2A68" w:rsidRDefault="002F2A68">
            <w:pPr>
              <w:widowControl w:val="0"/>
              <w:spacing w:after="0" w:line="240" w:lineRule="auto"/>
              <w:jc w:val="both"/>
              <w:rPr>
                <w:rFonts w:ascii="Times New Roman" w:hAnsi="Times New Roman" w:cs="Times New Roman"/>
                <w:sz w:val="28"/>
                <w:szCs w:val="28"/>
              </w:rPr>
            </w:pPr>
          </w:p>
        </w:tc>
        <w:tc>
          <w:tcPr>
            <w:tcW w:w="283" w:type="dxa"/>
            <w:vAlign w:val="center"/>
          </w:tcPr>
          <w:p w:rsidR="002F2A68" w:rsidRDefault="002F2A68">
            <w:pPr>
              <w:widowControl w:val="0"/>
              <w:spacing w:after="0" w:line="240" w:lineRule="auto"/>
              <w:jc w:val="both"/>
              <w:rPr>
                <w:rFonts w:ascii="Times New Roman" w:hAnsi="Times New Roman" w:cs="Times New Roman"/>
                <w:sz w:val="28"/>
                <w:szCs w:val="28"/>
              </w:rPr>
            </w:pPr>
          </w:p>
        </w:tc>
        <w:tc>
          <w:tcPr>
            <w:tcW w:w="7655" w:type="dxa"/>
            <w:vAlign w:val="center"/>
          </w:tcPr>
          <w:p w:rsidR="002F2A68" w:rsidRDefault="001B1791">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«ОБЛІК І ОПОДАТКУВАННЯ ЗОВНІШНЬОЕКОНОМІЧНОЇ ДІЯЛЬНОСТІ»</w:t>
            </w:r>
          </w:p>
        </w:tc>
      </w:tr>
      <w:tr w:rsidR="002F2A68">
        <w:trPr>
          <w:trHeight w:val="1037"/>
        </w:trPr>
        <w:tc>
          <w:tcPr>
            <w:tcW w:w="1701" w:type="dxa"/>
            <w:vMerge/>
            <w:vAlign w:val="center"/>
          </w:tcPr>
          <w:p w:rsidR="002F2A68" w:rsidRDefault="002F2A68">
            <w:pPr>
              <w:widowControl w:val="0"/>
              <w:spacing w:after="0" w:line="240" w:lineRule="auto"/>
              <w:jc w:val="both"/>
              <w:rPr>
                <w:rFonts w:ascii="Times New Roman" w:hAnsi="Times New Roman" w:cs="Times New Roman"/>
                <w:sz w:val="28"/>
                <w:szCs w:val="28"/>
              </w:rPr>
            </w:pPr>
          </w:p>
        </w:tc>
        <w:tc>
          <w:tcPr>
            <w:tcW w:w="283" w:type="dxa"/>
            <w:vAlign w:val="center"/>
          </w:tcPr>
          <w:p w:rsidR="002F2A68" w:rsidRDefault="002F2A68">
            <w:pPr>
              <w:widowControl w:val="0"/>
              <w:spacing w:after="0" w:line="240" w:lineRule="auto"/>
              <w:jc w:val="both"/>
              <w:rPr>
                <w:rFonts w:ascii="Times New Roman" w:hAnsi="Times New Roman" w:cs="Times New Roman"/>
                <w:sz w:val="28"/>
                <w:szCs w:val="28"/>
              </w:rPr>
            </w:pPr>
          </w:p>
        </w:tc>
        <w:tc>
          <w:tcPr>
            <w:tcW w:w="7655" w:type="dxa"/>
            <w:vAlign w:val="center"/>
          </w:tcPr>
          <w:p w:rsidR="002F2A68" w:rsidRDefault="001B1791">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Компонента освітньої програми – вибіркова (3 кредити)</w:t>
            </w:r>
          </w:p>
        </w:tc>
      </w:tr>
    </w:tbl>
    <w:p w:rsidR="002F2A68" w:rsidRDefault="002F2A68">
      <w:pPr>
        <w:widowControl w:val="0"/>
        <w:spacing w:after="0" w:line="240" w:lineRule="auto"/>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4477"/>
        <w:gridCol w:w="5378"/>
      </w:tblGrid>
      <w:tr w:rsidR="002F2A68" w:rsidTr="00C367DF">
        <w:tc>
          <w:tcPr>
            <w:tcW w:w="4477"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Освітньо-професійна програма </w:t>
            </w:r>
          </w:p>
        </w:tc>
        <w:tc>
          <w:tcPr>
            <w:tcW w:w="5378" w:type="dxa"/>
            <w:vAlign w:val="center"/>
          </w:tcPr>
          <w:p w:rsidR="002F2A68" w:rsidRDefault="001B179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Облік і оподаткування </w:t>
            </w:r>
          </w:p>
        </w:tc>
      </w:tr>
      <w:tr w:rsidR="00C367DF" w:rsidTr="00C367DF">
        <w:tc>
          <w:tcPr>
            <w:tcW w:w="4477" w:type="dxa"/>
            <w:vAlign w:val="center"/>
          </w:tcPr>
          <w:p w:rsidR="00C367DF" w:rsidRDefault="00C367DF" w:rsidP="00C367D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Спеціальність </w:t>
            </w:r>
          </w:p>
        </w:tc>
        <w:tc>
          <w:tcPr>
            <w:tcW w:w="5378" w:type="dxa"/>
            <w:vAlign w:val="center"/>
          </w:tcPr>
          <w:p w:rsidR="00C367DF" w:rsidRDefault="00C367DF" w:rsidP="00C367D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07</w:t>
            </w:r>
            <w:r>
              <w:rPr>
                <w:rFonts w:ascii="Times New Roman" w:hAnsi="Times New Roman" w:cs="Times New Roman"/>
                <w:sz w:val="24"/>
                <w:szCs w:val="24"/>
              </w:rPr>
              <w:t>1 «Облік і оподаткування»</w:t>
            </w:r>
          </w:p>
        </w:tc>
      </w:tr>
      <w:tr w:rsidR="00C367DF" w:rsidTr="00C367DF">
        <w:tc>
          <w:tcPr>
            <w:tcW w:w="4477" w:type="dxa"/>
            <w:vAlign w:val="center"/>
          </w:tcPr>
          <w:p w:rsidR="00C367DF" w:rsidRDefault="00C367DF" w:rsidP="00C367DF">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Галузь знань </w:t>
            </w:r>
          </w:p>
        </w:tc>
        <w:tc>
          <w:tcPr>
            <w:tcW w:w="5378" w:type="dxa"/>
            <w:vAlign w:val="center"/>
          </w:tcPr>
          <w:p w:rsidR="00C367DF" w:rsidRDefault="00C367DF" w:rsidP="00C367D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07 «Управління та адміністрування»</w:t>
            </w:r>
          </w:p>
        </w:tc>
      </w:tr>
      <w:tr w:rsidR="002F2A68" w:rsidTr="00C367DF">
        <w:tc>
          <w:tcPr>
            <w:tcW w:w="4477"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Рівень вищої освіти </w:t>
            </w:r>
          </w:p>
        </w:tc>
        <w:tc>
          <w:tcPr>
            <w:tcW w:w="5378" w:type="dxa"/>
            <w:vAlign w:val="center"/>
          </w:tcPr>
          <w:p w:rsidR="002F2A68" w:rsidRDefault="001B179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перший (бакалаврс</w:t>
            </w:r>
            <w:bookmarkStart w:id="0" w:name="_GoBack"/>
            <w:bookmarkEnd w:id="0"/>
            <w:r>
              <w:rPr>
                <w:rFonts w:ascii="Times New Roman" w:hAnsi="Times New Roman" w:cs="Times New Roman"/>
                <w:sz w:val="24"/>
                <w:szCs w:val="24"/>
              </w:rPr>
              <w:t>ький)</w:t>
            </w:r>
          </w:p>
        </w:tc>
      </w:tr>
      <w:tr w:rsidR="002F2A68" w:rsidTr="00C367DF">
        <w:tc>
          <w:tcPr>
            <w:tcW w:w="4477"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Мова навчання </w:t>
            </w:r>
          </w:p>
        </w:tc>
        <w:tc>
          <w:tcPr>
            <w:tcW w:w="5378" w:type="dxa"/>
            <w:vAlign w:val="center"/>
          </w:tcPr>
          <w:p w:rsidR="002F2A68" w:rsidRDefault="001B179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українська</w:t>
            </w:r>
          </w:p>
        </w:tc>
      </w:tr>
      <w:tr w:rsidR="002F2A68" w:rsidTr="00C367DF">
        <w:tc>
          <w:tcPr>
            <w:tcW w:w="4477"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Профайл викладача </w:t>
            </w:r>
          </w:p>
        </w:tc>
        <w:tc>
          <w:tcPr>
            <w:tcW w:w="5378" w:type="dxa"/>
            <w:vAlign w:val="center"/>
          </w:tcPr>
          <w:p w:rsidR="002F2A68" w:rsidRDefault="001B179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Танасієва Марина Миколаївна – кандидат економічний наук, доцент, асистент кафедри обліку, аналізу і аудиту </w:t>
            </w:r>
          </w:p>
          <w:p w:rsidR="002F2A68" w:rsidRDefault="00E17767">
            <w:pPr>
              <w:widowControl w:val="0"/>
              <w:spacing w:after="0" w:line="240" w:lineRule="auto"/>
              <w:jc w:val="both"/>
              <w:rPr>
                <w:rFonts w:ascii="Times New Roman" w:hAnsi="Times New Roman" w:cs="Times New Roman"/>
                <w:sz w:val="24"/>
                <w:szCs w:val="24"/>
              </w:rPr>
            </w:pPr>
            <w:hyperlink r:id="rId8" w:history="1">
              <w:r w:rsidR="001B1791">
                <w:rPr>
                  <w:rStyle w:val="a4"/>
                  <w:rFonts w:ascii="Times New Roman" w:hAnsi="Times New Roman" w:cs="Times New Roman"/>
                  <w:sz w:val="24"/>
                  <w:szCs w:val="24"/>
                </w:rPr>
                <w:t>https://accounting.chnu.edu.ua/pro-nas/kolektyv/tanasiieva-maryna-mykolaivna/</w:t>
              </w:r>
            </w:hyperlink>
          </w:p>
        </w:tc>
      </w:tr>
      <w:tr w:rsidR="002F2A68" w:rsidTr="00C367DF">
        <w:tc>
          <w:tcPr>
            <w:tcW w:w="4477"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Контактний телефон</w:t>
            </w:r>
          </w:p>
        </w:tc>
        <w:tc>
          <w:tcPr>
            <w:tcW w:w="5378" w:type="dxa"/>
            <w:vAlign w:val="center"/>
          </w:tcPr>
          <w:p w:rsidR="002F2A68" w:rsidRDefault="001B1791">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+38(050)9669932</w:t>
            </w:r>
          </w:p>
        </w:tc>
      </w:tr>
      <w:tr w:rsidR="002F2A68" w:rsidTr="00C367DF">
        <w:tc>
          <w:tcPr>
            <w:tcW w:w="4477" w:type="dxa"/>
            <w:vAlign w:val="center"/>
          </w:tcPr>
          <w:p w:rsidR="002F2A68" w:rsidRDefault="001B1791">
            <w:pPr>
              <w:widowControl w:val="0"/>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E-mail </w:t>
            </w:r>
          </w:p>
        </w:tc>
        <w:tc>
          <w:tcPr>
            <w:tcW w:w="5378" w:type="dxa"/>
            <w:vAlign w:val="center"/>
          </w:tcPr>
          <w:p w:rsidR="002F2A68" w:rsidRDefault="00E17767">
            <w:pPr>
              <w:widowControl w:val="0"/>
              <w:spacing w:after="0" w:line="240" w:lineRule="auto"/>
              <w:jc w:val="both"/>
              <w:rPr>
                <w:rFonts w:ascii="Times New Roman" w:hAnsi="Times New Roman" w:cs="Times New Roman"/>
                <w:sz w:val="24"/>
                <w:szCs w:val="24"/>
              </w:rPr>
            </w:pPr>
            <w:hyperlink r:id="rId9" w:history="1">
              <w:r w:rsidR="001B1791">
                <w:rPr>
                  <w:rStyle w:val="a4"/>
                  <w:rFonts w:ascii="Times New Roman" w:eastAsia="Times New Roman" w:hAnsi="Times New Roman" w:cs="Times New Roman"/>
                  <w:sz w:val="24"/>
                  <w:szCs w:val="24"/>
                  <w:lang w:val="en-US"/>
                </w:rPr>
                <w:t>m.tanasiyeva</w:t>
              </w:r>
              <w:r w:rsidR="001B1791">
                <w:rPr>
                  <w:rStyle w:val="a4"/>
                  <w:rFonts w:ascii="Times New Roman" w:eastAsia="Times New Roman" w:hAnsi="Times New Roman" w:cs="Times New Roman"/>
                  <w:sz w:val="24"/>
                  <w:szCs w:val="24"/>
                </w:rPr>
                <w:t>@</w:t>
              </w:r>
              <w:r w:rsidR="001B1791">
                <w:rPr>
                  <w:rStyle w:val="a4"/>
                  <w:rFonts w:ascii="Times New Roman" w:eastAsia="Times New Roman" w:hAnsi="Times New Roman" w:cs="Times New Roman"/>
                  <w:sz w:val="24"/>
                  <w:szCs w:val="24"/>
                  <w:lang w:val="en-US"/>
                </w:rPr>
                <w:t>chnu</w:t>
              </w:r>
              <w:r w:rsidR="001B1791">
                <w:rPr>
                  <w:rStyle w:val="a4"/>
                  <w:rFonts w:ascii="Times New Roman" w:eastAsia="Times New Roman" w:hAnsi="Times New Roman" w:cs="Times New Roman"/>
                  <w:sz w:val="24"/>
                  <w:szCs w:val="24"/>
                </w:rPr>
                <w:t>.</w:t>
              </w:r>
              <w:r w:rsidR="001B1791">
                <w:rPr>
                  <w:rStyle w:val="a4"/>
                  <w:rFonts w:ascii="Times New Roman" w:eastAsia="Times New Roman" w:hAnsi="Times New Roman" w:cs="Times New Roman"/>
                  <w:sz w:val="24"/>
                  <w:szCs w:val="24"/>
                  <w:lang w:val="en-US"/>
                </w:rPr>
                <w:t>edu</w:t>
              </w:r>
              <w:r w:rsidR="001B1791">
                <w:rPr>
                  <w:rStyle w:val="a4"/>
                  <w:rFonts w:ascii="Times New Roman" w:eastAsia="Times New Roman" w:hAnsi="Times New Roman" w:cs="Times New Roman"/>
                  <w:sz w:val="24"/>
                  <w:szCs w:val="24"/>
                </w:rPr>
                <w:t>.</w:t>
              </w:r>
              <w:r w:rsidR="001B1791">
                <w:rPr>
                  <w:rStyle w:val="a4"/>
                  <w:rFonts w:ascii="Times New Roman" w:eastAsia="Times New Roman" w:hAnsi="Times New Roman" w:cs="Times New Roman"/>
                  <w:sz w:val="24"/>
                  <w:szCs w:val="24"/>
                  <w:lang w:val="en-US"/>
                </w:rPr>
                <w:t>ua</w:t>
              </w:r>
            </w:hyperlink>
            <w:r w:rsidR="001B1791">
              <w:rPr>
                <w:rFonts w:ascii="Times New Roman" w:eastAsia="Times New Roman" w:hAnsi="Times New Roman" w:cs="Times New Roman"/>
                <w:sz w:val="24"/>
                <w:szCs w:val="24"/>
                <w:lang w:val="en-US"/>
              </w:rPr>
              <w:t xml:space="preserve">  </w:t>
            </w:r>
          </w:p>
        </w:tc>
      </w:tr>
      <w:tr w:rsidR="002F2A68" w:rsidTr="00C367DF">
        <w:tc>
          <w:tcPr>
            <w:tcW w:w="4477" w:type="dxa"/>
            <w:vAlign w:val="center"/>
          </w:tcPr>
          <w:p w:rsidR="002F2A68" w:rsidRDefault="001B1791">
            <w:pPr>
              <w:widowControl w:val="0"/>
              <w:spacing w:after="0" w:line="240" w:lineRule="auto"/>
              <w:jc w:val="both"/>
              <w:rPr>
                <w:rFonts w:ascii="Times New Roman" w:hAnsi="Times New Roman" w:cs="Times New Roman"/>
                <w:b/>
                <w:sz w:val="24"/>
                <w:szCs w:val="24"/>
                <w:lang w:val="ru-RU"/>
              </w:rPr>
            </w:pPr>
            <w:r>
              <w:rPr>
                <w:rFonts w:ascii="Times New Roman" w:hAnsi="Times New Roman" w:cs="Times New Roman"/>
                <w:b/>
                <w:sz w:val="24"/>
                <w:szCs w:val="24"/>
              </w:rPr>
              <w:t xml:space="preserve">Сторінка курсу в </w:t>
            </w:r>
            <w:r>
              <w:rPr>
                <w:rFonts w:ascii="Times New Roman" w:hAnsi="Times New Roman" w:cs="Times New Roman"/>
                <w:b/>
                <w:sz w:val="24"/>
                <w:szCs w:val="24"/>
                <w:lang w:val="en-US"/>
              </w:rPr>
              <w:t>Moodle</w:t>
            </w:r>
          </w:p>
        </w:tc>
        <w:tc>
          <w:tcPr>
            <w:tcW w:w="5378" w:type="dxa"/>
            <w:vAlign w:val="center"/>
          </w:tcPr>
          <w:p w:rsidR="002F2A68" w:rsidRDefault="00E17767">
            <w:pPr>
              <w:widowControl w:val="0"/>
              <w:spacing w:after="0" w:line="240" w:lineRule="auto"/>
              <w:jc w:val="both"/>
              <w:rPr>
                <w:rFonts w:ascii="Times New Roman" w:hAnsi="Times New Roman" w:cs="Times New Roman"/>
                <w:sz w:val="24"/>
                <w:szCs w:val="24"/>
                <w:lang w:val="ru-RU"/>
              </w:rPr>
            </w:pPr>
            <w:hyperlink r:id="rId10" w:history="1">
              <w:r w:rsidR="001B1791">
                <w:rPr>
                  <w:rStyle w:val="a4"/>
                  <w:rFonts w:ascii="Times New Roman" w:hAnsi="Times New Roman" w:cs="Times New Roman"/>
                  <w:sz w:val="24"/>
                  <w:szCs w:val="24"/>
                </w:rPr>
                <w:t>https://moodle.chnu.edu.ua/course/view.php?id=3014</w:t>
              </w:r>
            </w:hyperlink>
            <w:r w:rsidR="001B1791">
              <w:rPr>
                <w:rFonts w:ascii="Times New Roman" w:hAnsi="Times New Roman" w:cs="Times New Roman"/>
                <w:sz w:val="24"/>
                <w:szCs w:val="24"/>
                <w:lang w:val="ru-RU"/>
              </w:rPr>
              <w:t xml:space="preserve"> </w:t>
            </w:r>
          </w:p>
        </w:tc>
      </w:tr>
      <w:tr w:rsidR="002F2A68" w:rsidTr="00C367DF">
        <w:tc>
          <w:tcPr>
            <w:tcW w:w="4477"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Консультації</w:t>
            </w:r>
          </w:p>
        </w:tc>
        <w:tc>
          <w:tcPr>
            <w:tcW w:w="5378" w:type="dxa"/>
            <w:vAlign w:val="center"/>
          </w:tcPr>
          <w:p w:rsidR="002F2A68" w:rsidRDefault="001B179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Згідно графіку</w:t>
            </w:r>
          </w:p>
        </w:tc>
      </w:tr>
    </w:tbl>
    <w:p w:rsidR="002F2A68" w:rsidRDefault="002F2A68">
      <w:pPr>
        <w:widowControl w:val="0"/>
        <w:spacing w:after="0" w:line="240" w:lineRule="auto"/>
        <w:jc w:val="both"/>
        <w:rPr>
          <w:rFonts w:ascii="Times New Roman" w:hAnsi="Times New Roman" w:cs="Times New Roman"/>
          <w:sz w:val="28"/>
          <w:szCs w:val="28"/>
        </w:rPr>
      </w:pPr>
    </w:p>
    <w:p w:rsidR="002F2A68" w:rsidRDefault="001B1791">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Анотація навчальної дисципліни</w:t>
      </w:r>
    </w:p>
    <w:p w:rsidR="002F2A68" w:rsidRDefault="001B1791">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Зовнішньоекономічна діяльність являється перспективним напрямком господарювання суб’єктів підприємництва, оскільки дає змогу розширити конкурентні позиції підприємства та формує вагому частку поповнення державного бюджету країни. Вихід суб’єктів господарювання України на світовий ринок потребує опанування ними теоретичних аспектів та практичного досвіду встановлення економічних зв’язків із закордонними партнерами (нерезидентами) та здійснення зовнішньоекономічних операцій (товарних, фінансових, валютних, бартерних). Безумовно, система управління зовнішньоекономічною діяльністю вимагає глибоких знань у сфері бухгалтерського обліку зовнішньоекономічних операцій та їх оподаткування. Все це потребує підготовки висококваліфікованих кадрів зі спеціальності «Облік і оподаткування», які б могли на належному рівні та в установленому законодавством порядку здійснювати: укладення зовнішньоекономічних контрактів та їх реєстрацію, митне оформлення, облік основних зовнішньоекономічних та валютних операцій, зовнішньоекономічні розрахунки, оподатковувати експортно-імпортні операції, а також складати звітність суб’єктів зовнішньоекономічної діяльності.</w:t>
      </w:r>
    </w:p>
    <w:p w:rsidR="002F2A68" w:rsidRDefault="001B1791">
      <w:p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Мета навчальної дисципліни (Облік і оподаткування ЗЕД):</w:t>
      </w:r>
      <w:r>
        <w:rPr>
          <w:rFonts w:ascii="Times New Roman" w:hAnsi="Times New Roman" w:cs="Times New Roman"/>
          <w:b/>
          <w:sz w:val="28"/>
          <w:szCs w:val="28"/>
        </w:rPr>
        <w:t xml:space="preserve"> </w:t>
      </w:r>
      <w:r>
        <w:rPr>
          <w:rFonts w:ascii="Times New Roman" w:hAnsi="Times New Roman" w:cs="Times New Roman"/>
          <w:spacing w:val="-5"/>
          <w:sz w:val="28"/>
          <w:szCs w:val="28"/>
        </w:rPr>
        <w:t xml:space="preserve">оволодіння  базовими теоретичними знаннями і набуття практичних навичок щодо особливостей </w:t>
      </w:r>
      <w:r>
        <w:rPr>
          <w:rStyle w:val="2"/>
          <w:rFonts w:ascii="Times New Roman" w:hAnsi="Times New Roman" w:cs="Times New Roman"/>
          <w:color w:val="000000"/>
          <w:sz w:val="28"/>
          <w:szCs w:val="28"/>
          <w:lang w:eastAsia="uk-UA"/>
        </w:rPr>
        <w:t>формування системи обліку та оподаткування основних зовнішньоекономічних фінансово-господарських операцій суб’єктів підприємництва.</w:t>
      </w:r>
    </w:p>
    <w:p w:rsidR="002F2A68" w:rsidRDefault="002F2A68">
      <w:pPr>
        <w:widowControl w:val="0"/>
        <w:spacing w:after="0" w:line="240" w:lineRule="auto"/>
        <w:jc w:val="both"/>
        <w:rPr>
          <w:rFonts w:ascii="Times New Roman" w:hAnsi="Times New Roman" w:cs="Times New Roman"/>
          <w:sz w:val="28"/>
          <w:szCs w:val="28"/>
        </w:rPr>
      </w:pPr>
    </w:p>
    <w:p w:rsidR="002F2A68" w:rsidRDefault="002F2A68">
      <w:pPr>
        <w:widowControl w:val="0"/>
        <w:spacing w:after="0" w:line="240" w:lineRule="auto"/>
        <w:jc w:val="center"/>
        <w:rPr>
          <w:rFonts w:ascii="Times New Roman" w:hAnsi="Times New Roman" w:cs="Times New Roman"/>
          <w:b/>
          <w:caps/>
          <w:sz w:val="28"/>
          <w:szCs w:val="28"/>
        </w:rPr>
      </w:pPr>
    </w:p>
    <w:p w:rsidR="002F2A68" w:rsidRDefault="001B1791">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Навчальний контент освітньої компоненти</w:t>
      </w:r>
    </w:p>
    <w:tbl>
      <w:tblPr>
        <w:tblStyle w:val="a6"/>
        <w:tblW w:w="0" w:type="auto"/>
        <w:tblLook w:val="04A0" w:firstRow="1" w:lastRow="0" w:firstColumn="1" w:lastColumn="0" w:noHBand="0" w:noVBand="1"/>
      </w:tblPr>
      <w:tblGrid>
        <w:gridCol w:w="1413"/>
        <w:gridCol w:w="8216"/>
      </w:tblGrid>
      <w:tr w:rsidR="002F2A68">
        <w:tc>
          <w:tcPr>
            <w:tcW w:w="9629" w:type="dxa"/>
            <w:gridSpan w:val="2"/>
            <w:vAlign w:val="center"/>
          </w:tcPr>
          <w:p w:rsidR="002F2A68" w:rsidRDefault="001B1791">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Модуль 1. </w:t>
            </w:r>
            <w:r>
              <w:rPr>
                <w:rFonts w:ascii="Times New Roman" w:hAnsi="Times New Roman" w:cs="Times New Roman"/>
                <w:b/>
                <w:sz w:val="24"/>
                <w:szCs w:val="24"/>
              </w:rPr>
              <w:t>ЗАГАЛЬНІ ТЕОРЕТИЧНІ ТА МЕТОДИЧНІ ЗАСАДИ ОБЛІКІ ОПОДАТКУВАННЯ ОСНОВНИХ ОПЕРАЦІЙ У СФЕРІ ЗЕД</w:t>
            </w:r>
          </w:p>
        </w:tc>
      </w:tr>
      <w:tr w:rsidR="002F2A68">
        <w:tc>
          <w:tcPr>
            <w:tcW w:w="1413"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1</w:t>
            </w:r>
          </w:p>
        </w:tc>
        <w:tc>
          <w:tcPr>
            <w:tcW w:w="8216" w:type="dxa"/>
          </w:tcPr>
          <w:p w:rsidR="002F2A68" w:rsidRDefault="001B1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Теоретико-правові основи зовнішньоекономічної діяльності </w:t>
            </w:r>
          </w:p>
        </w:tc>
      </w:tr>
      <w:tr w:rsidR="002F2A68">
        <w:tc>
          <w:tcPr>
            <w:tcW w:w="1413"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2</w:t>
            </w:r>
          </w:p>
        </w:tc>
        <w:tc>
          <w:tcPr>
            <w:tcW w:w="8216" w:type="dxa"/>
          </w:tcPr>
          <w:p w:rsidR="002F2A68" w:rsidRDefault="001B1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Зовнішньоекономічні контракти й особливості відображення інформації в системі бухгалтерського обліку </w:t>
            </w:r>
          </w:p>
        </w:tc>
      </w:tr>
      <w:tr w:rsidR="002F2A68">
        <w:tc>
          <w:tcPr>
            <w:tcW w:w="1413"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3</w:t>
            </w:r>
          </w:p>
        </w:tc>
        <w:tc>
          <w:tcPr>
            <w:tcW w:w="8216" w:type="dxa"/>
          </w:tcPr>
          <w:p w:rsidR="002F2A68" w:rsidRDefault="001B17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Облік і оподаткування валютних операцій </w:t>
            </w:r>
          </w:p>
        </w:tc>
      </w:tr>
      <w:tr w:rsidR="002F2A68">
        <w:tc>
          <w:tcPr>
            <w:tcW w:w="1413"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4</w:t>
            </w:r>
          </w:p>
        </w:tc>
        <w:tc>
          <w:tcPr>
            <w:tcW w:w="8216" w:type="dxa"/>
          </w:tcPr>
          <w:p w:rsidR="002F2A68" w:rsidRDefault="001B179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Облік і оподаткування розрахункових операцій </w:t>
            </w:r>
          </w:p>
        </w:tc>
      </w:tr>
      <w:tr w:rsidR="002F2A68">
        <w:tc>
          <w:tcPr>
            <w:tcW w:w="9629" w:type="dxa"/>
            <w:gridSpan w:val="2"/>
            <w:vAlign w:val="center"/>
          </w:tcPr>
          <w:p w:rsidR="002F2A68" w:rsidRDefault="001B1791">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Модуль 2. </w:t>
            </w:r>
            <w:r>
              <w:rPr>
                <w:rFonts w:ascii="Times New Roman" w:hAnsi="Times New Roman" w:cs="Times New Roman"/>
                <w:b/>
                <w:sz w:val="24"/>
                <w:szCs w:val="24"/>
              </w:rPr>
              <w:t>ОБЛІК І ОПОДАТКУВАННЯ ОКРЕМИХ ГОСПОДАРСЬКИХ ОПЕРАЦІЙ СУБ’ЄКТІВ ЗЕД</w:t>
            </w:r>
          </w:p>
        </w:tc>
      </w:tr>
      <w:tr w:rsidR="002F2A68">
        <w:tc>
          <w:tcPr>
            <w:tcW w:w="1413"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5</w:t>
            </w:r>
          </w:p>
        </w:tc>
        <w:tc>
          <w:tcPr>
            <w:tcW w:w="8216" w:type="dxa"/>
          </w:tcPr>
          <w:p w:rsidR="002F2A68" w:rsidRDefault="001B1791">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Облік і оподаткування експортних операцій</w:t>
            </w:r>
          </w:p>
        </w:tc>
      </w:tr>
      <w:tr w:rsidR="002F2A68">
        <w:tc>
          <w:tcPr>
            <w:tcW w:w="1413"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6</w:t>
            </w:r>
          </w:p>
        </w:tc>
        <w:tc>
          <w:tcPr>
            <w:tcW w:w="8216" w:type="dxa"/>
          </w:tcPr>
          <w:p w:rsidR="002F2A68" w:rsidRDefault="001B1791">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Облік і оподаткування імпортних операцій</w:t>
            </w:r>
          </w:p>
        </w:tc>
      </w:tr>
      <w:tr w:rsidR="002F2A68">
        <w:tc>
          <w:tcPr>
            <w:tcW w:w="1413"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7</w:t>
            </w:r>
          </w:p>
        </w:tc>
        <w:tc>
          <w:tcPr>
            <w:tcW w:w="8216" w:type="dxa"/>
          </w:tcPr>
          <w:p w:rsidR="002F2A68" w:rsidRDefault="001B179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Облік і оподаткування бартерних операцій</w:t>
            </w:r>
          </w:p>
        </w:tc>
      </w:tr>
      <w:tr w:rsidR="002F2A68">
        <w:tc>
          <w:tcPr>
            <w:tcW w:w="1413"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8</w:t>
            </w:r>
          </w:p>
        </w:tc>
        <w:tc>
          <w:tcPr>
            <w:tcW w:w="8216" w:type="dxa"/>
          </w:tcPr>
          <w:p w:rsidR="002F2A68" w:rsidRDefault="001B179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Облік і оподаткування операцій  з давальницькою сировиною</w:t>
            </w:r>
          </w:p>
        </w:tc>
      </w:tr>
      <w:tr w:rsidR="002F2A68">
        <w:tc>
          <w:tcPr>
            <w:tcW w:w="1413" w:type="dxa"/>
            <w:vAlign w:val="center"/>
          </w:tcPr>
          <w:p w:rsidR="002F2A68" w:rsidRDefault="001B1791">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9</w:t>
            </w:r>
          </w:p>
        </w:tc>
        <w:tc>
          <w:tcPr>
            <w:tcW w:w="8216" w:type="dxa"/>
          </w:tcPr>
          <w:p w:rsidR="002F2A68" w:rsidRDefault="001B179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Звітність суб’єктів зовнішньоекономічної діяльності</w:t>
            </w:r>
          </w:p>
        </w:tc>
      </w:tr>
    </w:tbl>
    <w:p w:rsidR="002F2A68" w:rsidRDefault="002F2A68">
      <w:pPr>
        <w:widowControl w:val="0"/>
        <w:spacing w:after="0" w:line="240" w:lineRule="auto"/>
        <w:jc w:val="both"/>
        <w:rPr>
          <w:rFonts w:ascii="Times New Roman" w:hAnsi="Times New Roman" w:cs="Times New Roman"/>
          <w:sz w:val="28"/>
          <w:szCs w:val="28"/>
        </w:rPr>
      </w:pPr>
    </w:p>
    <w:p w:rsidR="002F2A68" w:rsidRDefault="001B1791">
      <w:pPr>
        <w:pStyle w:val="Default"/>
        <w:jc w:val="center"/>
        <w:rPr>
          <w:rFonts w:asciiTheme="majorBidi" w:hAnsiTheme="majorBidi" w:cstheme="majorBidi"/>
          <w:b/>
          <w:color w:val="auto"/>
          <w:kern w:val="24"/>
          <w:sz w:val="28"/>
          <w:szCs w:val="28"/>
          <w:lang w:val="uk-UA"/>
        </w:rPr>
      </w:pPr>
      <w:r>
        <w:rPr>
          <w:rFonts w:asciiTheme="majorBidi" w:hAnsiTheme="majorBidi" w:cstheme="majorBidi"/>
          <w:b/>
          <w:color w:val="auto"/>
          <w:kern w:val="24"/>
          <w:sz w:val="28"/>
          <w:szCs w:val="28"/>
          <w:lang w:val="uk-UA"/>
        </w:rPr>
        <w:t>ФОРМИ, МЕТОДИ ТА</w:t>
      </w:r>
      <w:r>
        <w:rPr>
          <w:rFonts w:asciiTheme="majorBidi" w:hAnsiTheme="majorBidi" w:cstheme="majorBidi"/>
          <w:b/>
          <w:color w:val="auto"/>
          <w:kern w:val="24"/>
          <w:sz w:val="28"/>
          <w:szCs w:val="28"/>
        </w:rPr>
        <w:t xml:space="preserve"> ОСВІТНІ ТЕХНОЛОГІЇ</w:t>
      </w:r>
      <w:r>
        <w:rPr>
          <w:rFonts w:asciiTheme="majorBidi" w:hAnsiTheme="majorBidi" w:cstheme="majorBidi"/>
          <w:b/>
          <w:color w:val="auto"/>
          <w:kern w:val="24"/>
          <w:sz w:val="28"/>
          <w:szCs w:val="28"/>
          <w:lang w:val="uk-UA"/>
        </w:rPr>
        <w:t xml:space="preserve"> </w:t>
      </w:r>
      <w:r>
        <w:rPr>
          <w:rFonts w:asciiTheme="majorBidi" w:hAnsiTheme="majorBidi" w:cstheme="majorBidi"/>
          <w:b/>
          <w:color w:val="auto"/>
          <w:kern w:val="24"/>
          <w:sz w:val="28"/>
          <w:szCs w:val="28"/>
        </w:rPr>
        <w:t>НАВЧАННЯ</w:t>
      </w:r>
    </w:p>
    <w:p w:rsidR="002F2A68" w:rsidRDefault="001B1791">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процесі вивчення навчальної дисципліни використовуються освітні технології інтенсифікації навчання на основі опорних схем і моделей, модульно-блочного навчання; вербальні методи (лекція, бесіда, пояснення, розповідь та інші); практичні методи (семінари, практичні та ситуаційні завдання);  наочні методи (презентація, демонстрація, ілюстрація); проблемно-пошукові методи; робота з інформаційними ресурсами (нормативними джерелами, навчально-методичною та науковою літературою, інтернет-ресурсами); самостійна робота над індивідуальним завданням за програмою навчальної дисципліни; дистанційне навчання з використанням системи Moodle; і</w:t>
      </w:r>
      <w:r>
        <w:rPr>
          <w:rFonts w:ascii="Times New Roman" w:eastAsia="Malgun Gothic Semilight" w:hAnsi="Times New Roman" w:cs="Times New Roman"/>
          <w:sz w:val="28"/>
          <w:szCs w:val="28"/>
        </w:rPr>
        <w:t>нш</w:t>
      </w:r>
      <w:r>
        <w:rPr>
          <w:rFonts w:ascii="Times New Roman" w:hAnsi="Times New Roman" w:cs="Times New Roman"/>
          <w:sz w:val="28"/>
          <w:szCs w:val="28"/>
        </w:rPr>
        <w:t xml:space="preserve">і </w:t>
      </w:r>
      <w:r>
        <w:rPr>
          <w:rFonts w:ascii="Times New Roman" w:eastAsia="Malgun Gothic Semilight" w:hAnsi="Times New Roman" w:cs="Times New Roman"/>
          <w:sz w:val="28"/>
          <w:szCs w:val="28"/>
        </w:rPr>
        <w:t>методи навчання.</w:t>
      </w:r>
    </w:p>
    <w:p w:rsidR="002F2A68" w:rsidRDefault="002F2A68">
      <w:pPr>
        <w:widowControl w:val="0"/>
        <w:spacing w:after="0" w:line="240" w:lineRule="auto"/>
        <w:jc w:val="both"/>
        <w:rPr>
          <w:rFonts w:ascii="Times New Roman" w:hAnsi="Times New Roman" w:cs="Times New Roman"/>
          <w:sz w:val="28"/>
          <w:szCs w:val="28"/>
        </w:rPr>
      </w:pPr>
    </w:p>
    <w:p w:rsidR="002F2A68" w:rsidRDefault="001B1791">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Форми й методи контролю та оцінювання</w:t>
      </w:r>
    </w:p>
    <w:p w:rsidR="002F2A68" w:rsidRDefault="001B1791">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Поточний контроль: </w:t>
      </w:r>
      <w:r>
        <w:rPr>
          <w:rFonts w:ascii="Times New Roman" w:eastAsia="Arial Unicode MS" w:hAnsi="Times New Roman" w:cs="Times New Roman"/>
          <w:color w:val="000000"/>
          <w:sz w:val="28"/>
          <w:szCs w:val="28"/>
          <w:lang w:bidi="en-US"/>
        </w:rPr>
        <w:t>фронтальне опитування; індивідуальне опитування; с</w:t>
      </w:r>
      <w:r>
        <w:rPr>
          <w:rFonts w:ascii="Times New Roman" w:eastAsia="Malgun Gothic Semilight" w:hAnsi="Times New Roman" w:cs="Times New Roman"/>
          <w:color w:val="000000"/>
          <w:sz w:val="28"/>
          <w:szCs w:val="28"/>
          <w:lang w:bidi="en-US"/>
        </w:rPr>
        <w:t>тандартизован</w:t>
      </w:r>
      <w:r>
        <w:rPr>
          <w:rFonts w:ascii="Times New Roman" w:eastAsia="Arial Unicode MS" w:hAnsi="Times New Roman" w:cs="Times New Roman"/>
          <w:color w:val="000000"/>
          <w:sz w:val="28"/>
          <w:szCs w:val="28"/>
          <w:lang w:bidi="en-US"/>
        </w:rPr>
        <w:t xml:space="preserve">і </w:t>
      </w:r>
      <w:r>
        <w:rPr>
          <w:rFonts w:ascii="Times New Roman" w:eastAsia="Malgun Gothic Semilight" w:hAnsi="Times New Roman" w:cs="Times New Roman"/>
          <w:color w:val="000000"/>
          <w:sz w:val="28"/>
          <w:szCs w:val="28"/>
          <w:lang w:bidi="en-US"/>
        </w:rPr>
        <w:t>тести</w:t>
      </w:r>
      <w:r>
        <w:rPr>
          <w:rFonts w:ascii="Times New Roman" w:eastAsia="Arial Unicode MS" w:hAnsi="Times New Roman" w:cs="Times New Roman"/>
          <w:color w:val="000000"/>
          <w:sz w:val="28"/>
          <w:szCs w:val="28"/>
          <w:lang w:bidi="en-US"/>
        </w:rPr>
        <w:t xml:space="preserve">; розв’язування практичних ситуацій; тематичні контрольні роботи; презентація результатів виконання індивідуальних та командних завдань (наукових, розрахункових, аналітичних та інших); виступи та </w:t>
      </w:r>
      <w:r>
        <w:rPr>
          <w:rFonts w:ascii="Times New Roman" w:eastAsia="Malgun Gothic Semilight" w:hAnsi="Times New Roman" w:cs="Times New Roman"/>
          <w:color w:val="000000"/>
          <w:sz w:val="28"/>
          <w:szCs w:val="28"/>
          <w:lang w:bidi="en-US"/>
        </w:rPr>
        <w:t>презентац</w:t>
      </w:r>
      <w:r>
        <w:rPr>
          <w:rFonts w:ascii="Times New Roman" w:eastAsia="Arial Unicode MS" w:hAnsi="Times New Roman" w:cs="Times New Roman"/>
          <w:color w:val="000000"/>
          <w:sz w:val="28"/>
          <w:szCs w:val="28"/>
          <w:lang w:bidi="en-US"/>
        </w:rPr>
        <w:t xml:space="preserve">ії здобувачів </w:t>
      </w:r>
      <w:r>
        <w:rPr>
          <w:rFonts w:ascii="Times New Roman" w:eastAsia="Malgun Gothic Semilight" w:hAnsi="Times New Roman" w:cs="Times New Roman"/>
          <w:color w:val="000000"/>
          <w:sz w:val="28"/>
          <w:szCs w:val="28"/>
          <w:lang w:bidi="en-US"/>
        </w:rPr>
        <w:t>на</w:t>
      </w:r>
      <w:r>
        <w:rPr>
          <w:rFonts w:ascii="Times New Roman" w:eastAsia="Arial Unicode MS" w:hAnsi="Times New Roman" w:cs="Times New Roman"/>
          <w:color w:val="000000"/>
          <w:sz w:val="28"/>
          <w:szCs w:val="28"/>
          <w:lang w:bidi="en-US"/>
        </w:rPr>
        <w:t xml:space="preserve"> </w:t>
      </w:r>
      <w:r>
        <w:rPr>
          <w:rFonts w:ascii="Times New Roman" w:eastAsia="Malgun Gothic Semilight" w:hAnsi="Times New Roman" w:cs="Times New Roman"/>
          <w:color w:val="000000"/>
          <w:sz w:val="28"/>
          <w:szCs w:val="28"/>
          <w:lang w:bidi="en-US"/>
        </w:rPr>
        <w:t>науково-практичних</w:t>
      </w:r>
      <w:r>
        <w:rPr>
          <w:rFonts w:ascii="Times New Roman" w:eastAsia="Arial Unicode MS" w:hAnsi="Times New Roman" w:cs="Times New Roman"/>
          <w:color w:val="000000"/>
          <w:sz w:val="28"/>
          <w:szCs w:val="28"/>
          <w:lang w:bidi="en-US"/>
        </w:rPr>
        <w:t xml:space="preserve"> </w:t>
      </w:r>
      <w:r>
        <w:rPr>
          <w:rFonts w:ascii="Times New Roman" w:eastAsia="Malgun Gothic Semilight" w:hAnsi="Times New Roman" w:cs="Times New Roman"/>
          <w:color w:val="000000"/>
          <w:sz w:val="28"/>
          <w:szCs w:val="28"/>
          <w:lang w:bidi="en-US"/>
        </w:rPr>
        <w:t>заходах</w:t>
      </w:r>
      <w:r>
        <w:rPr>
          <w:rFonts w:ascii="Times New Roman" w:eastAsia="Arial Unicode MS" w:hAnsi="Times New Roman" w:cs="Times New Roman"/>
          <w:color w:val="000000"/>
          <w:sz w:val="28"/>
          <w:szCs w:val="28"/>
          <w:lang w:bidi="en-US"/>
        </w:rPr>
        <w:t>; і</w:t>
      </w:r>
      <w:r>
        <w:rPr>
          <w:rFonts w:ascii="Times New Roman" w:eastAsia="Malgun Gothic Semilight" w:hAnsi="Times New Roman" w:cs="Times New Roman"/>
          <w:color w:val="000000"/>
          <w:sz w:val="28"/>
          <w:szCs w:val="28"/>
          <w:lang w:bidi="en-US"/>
        </w:rPr>
        <w:t>нш</w:t>
      </w:r>
      <w:r>
        <w:rPr>
          <w:rFonts w:ascii="Times New Roman" w:eastAsia="Arial Unicode MS" w:hAnsi="Times New Roman" w:cs="Times New Roman"/>
          <w:color w:val="000000"/>
          <w:sz w:val="28"/>
          <w:szCs w:val="28"/>
          <w:lang w:bidi="en-US"/>
        </w:rPr>
        <w:t xml:space="preserve">і </w:t>
      </w:r>
      <w:r>
        <w:rPr>
          <w:rFonts w:ascii="Times New Roman" w:eastAsia="Malgun Gothic Semilight" w:hAnsi="Times New Roman" w:cs="Times New Roman"/>
          <w:color w:val="000000"/>
          <w:sz w:val="28"/>
          <w:szCs w:val="28"/>
          <w:lang w:bidi="en-US"/>
        </w:rPr>
        <w:t>види</w:t>
      </w:r>
      <w:r>
        <w:rPr>
          <w:rFonts w:ascii="Times New Roman" w:eastAsia="Arial Unicode MS" w:hAnsi="Times New Roman" w:cs="Times New Roman"/>
          <w:color w:val="000000"/>
          <w:sz w:val="28"/>
          <w:szCs w:val="28"/>
          <w:lang w:bidi="en-US"/>
        </w:rPr>
        <w:t xml:space="preserve"> і</w:t>
      </w:r>
      <w:r>
        <w:rPr>
          <w:rFonts w:ascii="Times New Roman" w:eastAsia="Malgun Gothic Semilight" w:hAnsi="Times New Roman" w:cs="Times New Roman"/>
          <w:color w:val="000000"/>
          <w:sz w:val="28"/>
          <w:szCs w:val="28"/>
          <w:lang w:bidi="en-US"/>
        </w:rPr>
        <w:t>ндив</w:t>
      </w:r>
      <w:r>
        <w:rPr>
          <w:rFonts w:ascii="Times New Roman" w:eastAsia="Arial Unicode MS" w:hAnsi="Times New Roman" w:cs="Times New Roman"/>
          <w:color w:val="000000"/>
          <w:sz w:val="28"/>
          <w:szCs w:val="28"/>
          <w:lang w:bidi="en-US"/>
        </w:rPr>
        <w:t>і</w:t>
      </w:r>
      <w:r>
        <w:rPr>
          <w:rFonts w:ascii="Times New Roman" w:eastAsia="Malgun Gothic Semilight" w:hAnsi="Times New Roman" w:cs="Times New Roman"/>
          <w:color w:val="000000"/>
          <w:sz w:val="28"/>
          <w:szCs w:val="28"/>
          <w:lang w:bidi="en-US"/>
        </w:rPr>
        <w:t>дуальних</w:t>
      </w:r>
      <w:r>
        <w:rPr>
          <w:rFonts w:ascii="Times New Roman" w:eastAsia="Arial Unicode MS" w:hAnsi="Times New Roman" w:cs="Times New Roman"/>
          <w:color w:val="000000"/>
          <w:sz w:val="28"/>
          <w:szCs w:val="28"/>
          <w:lang w:bidi="en-US"/>
        </w:rPr>
        <w:t xml:space="preserve"> </w:t>
      </w:r>
      <w:r>
        <w:rPr>
          <w:rFonts w:ascii="Times New Roman" w:eastAsia="Malgun Gothic Semilight" w:hAnsi="Times New Roman" w:cs="Times New Roman"/>
          <w:color w:val="000000"/>
          <w:sz w:val="28"/>
          <w:szCs w:val="28"/>
          <w:lang w:bidi="en-US"/>
        </w:rPr>
        <w:t>та</w:t>
      </w:r>
      <w:r>
        <w:rPr>
          <w:rFonts w:ascii="Times New Roman" w:eastAsia="Arial Unicode MS" w:hAnsi="Times New Roman" w:cs="Times New Roman"/>
          <w:color w:val="000000"/>
          <w:sz w:val="28"/>
          <w:szCs w:val="28"/>
          <w:lang w:bidi="en-US"/>
        </w:rPr>
        <w:t xml:space="preserve"> групових завдань.</w:t>
      </w:r>
    </w:p>
    <w:p w:rsidR="002F2A68" w:rsidRDefault="001B1791">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Підсумковий контроль: залік.</w:t>
      </w:r>
    </w:p>
    <w:p w:rsidR="002F2A68" w:rsidRDefault="002F2A68">
      <w:pPr>
        <w:widowControl w:val="0"/>
        <w:spacing w:after="0" w:line="240" w:lineRule="auto"/>
        <w:jc w:val="both"/>
        <w:rPr>
          <w:rFonts w:ascii="Times New Roman" w:hAnsi="Times New Roman" w:cs="Times New Roman"/>
          <w:sz w:val="28"/>
          <w:szCs w:val="28"/>
        </w:rPr>
      </w:pPr>
    </w:p>
    <w:p w:rsidR="002F2A68" w:rsidRDefault="001B1791">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Критерії оцінювання результатів навчання</w:t>
      </w:r>
    </w:p>
    <w:p w:rsidR="002F2A68" w:rsidRDefault="001B1791">
      <w:pPr>
        <w:pStyle w:val="a5"/>
        <w:widowControl w:val="0"/>
        <w:spacing w:before="0" w:beforeAutospacing="0" w:after="0" w:afterAutospacing="0"/>
        <w:ind w:firstLine="567"/>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p>
    <w:p w:rsidR="002F2A68" w:rsidRDefault="001B1791">
      <w:pPr>
        <w:pStyle w:val="a5"/>
        <w:widowControl w:val="0"/>
        <w:spacing w:before="0" w:beforeAutospacing="0" w:after="0" w:afterAutospacing="0"/>
        <w:ind w:firstLine="567"/>
        <w:jc w:val="both"/>
        <w:rPr>
          <w:sz w:val="28"/>
          <w:szCs w:val="28"/>
        </w:rPr>
      </w:pPr>
      <w:r>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rsidR="002F2A68" w:rsidRDefault="002F2A68">
      <w:pPr>
        <w:widowControl w:val="0"/>
        <w:spacing w:after="0" w:line="240" w:lineRule="auto"/>
        <w:jc w:val="both"/>
        <w:rPr>
          <w:rFonts w:ascii="Times New Roman" w:hAnsi="Times New Roman" w:cs="Times New Roman"/>
          <w:sz w:val="28"/>
          <w:szCs w:val="28"/>
        </w:rPr>
      </w:pPr>
    </w:p>
    <w:p w:rsidR="002F2A68" w:rsidRDefault="001B1791">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Політика щодо академічної доброчесності</w:t>
      </w:r>
    </w:p>
    <w:p w:rsidR="002F2A68" w:rsidRDefault="001B1791">
      <w:pPr>
        <w:pStyle w:val="a7"/>
        <w:ind w:left="0" w:firstLine="567"/>
        <w:rPr>
          <w:bCs/>
          <w:color w:val="000000" w:themeColor="text1"/>
          <w:sz w:val="28"/>
          <w:szCs w:val="28"/>
        </w:rPr>
      </w:pPr>
      <w:r>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2F2A68" w:rsidRDefault="001B1791">
      <w:pPr>
        <w:pStyle w:val="a7"/>
        <w:numPr>
          <w:ilvl w:val="0"/>
          <w:numId w:val="1"/>
        </w:numPr>
        <w:tabs>
          <w:tab w:val="left" w:pos="851"/>
        </w:tabs>
        <w:ind w:left="0" w:firstLine="567"/>
        <w:rPr>
          <w:bCs/>
          <w:color w:val="000000" w:themeColor="text1"/>
          <w:sz w:val="28"/>
          <w:szCs w:val="28"/>
        </w:rPr>
      </w:pPr>
      <w:r>
        <w:rPr>
          <w:bCs/>
          <w:color w:val="000000" w:themeColor="text1"/>
          <w:sz w:val="28"/>
          <w:szCs w:val="28"/>
        </w:rPr>
        <w:t xml:space="preserve">Етичний кодекс </w:t>
      </w:r>
      <w:r>
        <w:rPr>
          <w:bCs/>
          <w:color w:val="000000" w:themeColor="text1"/>
          <w:spacing w:val="-4"/>
          <w:sz w:val="28"/>
          <w:szCs w:val="28"/>
        </w:rPr>
        <w:t xml:space="preserve">Чернівецького національного університету імені Юрія </w:t>
      </w:r>
      <w:r>
        <w:rPr>
          <w:bCs/>
          <w:color w:val="000000" w:themeColor="text1"/>
          <w:spacing w:val="-4"/>
          <w:sz w:val="28"/>
          <w:szCs w:val="28"/>
        </w:rPr>
        <w:lastRenderedPageBreak/>
        <w:t xml:space="preserve">Федьковича. </w:t>
      </w:r>
      <w:r>
        <w:rPr>
          <w:bCs/>
          <w:color w:val="000000" w:themeColor="text1"/>
          <w:sz w:val="28"/>
          <w:szCs w:val="28"/>
          <w:lang w:val="en-US"/>
        </w:rPr>
        <w:t>URL</w:t>
      </w:r>
      <w:r>
        <w:rPr>
          <w:bCs/>
          <w:color w:val="000000" w:themeColor="text1"/>
          <w:sz w:val="28"/>
          <w:szCs w:val="28"/>
        </w:rPr>
        <w:t xml:space="preserve">: </w:t>
      </w:r>
      <w:hyperlink r:id="rId11" w:history="1">
        <w:r>
          <w:rPr>
            <w:rStyle w:val="a4"/>
            <w:bCs/>
            <w:color w:val="0070C0"/>
            <w:sz w:val="28"/>
            <w:szCs w:val="28"/>
          </w:rPr>
          <w:t>https://www.chnu.edu.ua/media/jxdbs0zb/etychnyi-kodeks-chernivets koho-natsionalnoho-universytetu.pdf</w:t>
        </w:r>
      </w:hyperlink>
      <w:r>
        <w:rPr>
          <w:rStyle w:val="a4"/>
          <w:bCs/>
          <w:sz w:val="28"/>
          <w:szCs w:val="28"/>
        </w:rPr>
        <w:t>;</w:t>
      </w:r>
    </w:p>
    <w:p w:rsidR="002F2A68" w:rsidRDefault="001B1791">
      <w:pPr>
        <w:pStyle w:val="a7"/>
        <w:numPr>
          <w:ilvl w:val="0"/>
          <w:numId w:val="1"/>
        </w:numPr>
        <w:tabs>
          <w:tab w:val="left" w:pos="851"/>
        </w:tabs>
        <w:ind w:left="0" w:firstLine="567"/>
        <w:rPr>
          <w:sz w:val="28"/>
          <w:szCs w:val="28"/>
        </w:rPr>
      </w:pPr>
      <w:r>
        <w:rPr>
          <w:bCs/>
          <w:color w:val="000000" w:themeColor="text1"/>
          <w:sz w:val="28"/>
          <w:szCs w:val="28"/>
        </w:rPr>
        <w:t xml:space="preserve">Положенням про виявлення та запобігання академічного плагіату у Чернівецькому національному університету імені Юрія Федьковича. </w:t>
      </w:r>
      <w:r>
        <w:rPr>
          <w:bCs/>
          <w:color w:val="000000" w:themeColor="text1"/>
          <w:sz w:val="28"/>
          <w:szCs w:val="28"/>
          <w:lang w:val="en-US"/>
        </w:rPr>
        <w:t>URL</w:t>
      </w:r>
      <w:r>
        <w:rPr>
          <w:bCs/>
          <w:color w:val="000000" w:themeColor="text1"/>
          <w:sz w:val="28"/>
          <w:szCs w:val="28"/>
        </w:rPr>
        <w:t>: </w:t>
      </w:r>
      <w:hyperlink r:id="rId12" w:history="1">
        <w:r>
          <w:rPr>
            <w:rStyle w:val="a4"/>
            <w:bCs/>
            <w:sz w:val="28"/>
            <w:szCs w:val="28"/>
          </w:rPr>
          <w:t>https://www.chnu.edu.ua/media/hkzbr1b2/polozhennia-pro-vyiavlennia-ta-zapobihannia-akademichnomu-plahiatu-u-chnu-2025.pdf</w:t>
        </w:r>
      </w:hyperlink>
      <w:r>
        <w:rPr>
          <w:bCs/>
          <w:color w:val="000000" w:themeColor="text1"/>
          <w:sz w:val="28"/>
          <w:szCs w:val="28"/>
        </w:rPr>
        <w:t>.</w:t>
      </w:r>
    </w:p>
    <w:p w:rsidR="002F2A68" w:rsidRDefault="002F2A68">
      <w:pPr>
        <w:widowControl w:val="0"/>
        <w:spacing w:after="0" w:line="240" w:lineRule="auto"/>
        <w:ind w:firstLine="567"/>
        <w:jc w:val="both"/>
        <w:rPr>
          <w:rFonts w:ascii="Times New Roman" w:hAnsi="Times New Roman" w:cs="Times New Roman"/>
          <w:sz w:val="28"/>
          <w:szCs w:val="28"/>
        </w:rPr>
      </w:pPr>
    </w:p>
    <w:p w:rsidR="002F2A68" w:rsidRDefault="001B1791">
      <w:pPr>
        <w:widowControl w:val="0"/>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Інформаційні ресурси</w:t>
      </w:r>
    </w:p>
    <w:p w:rsidR="002F2A68" w:rsidRDefault="001B1791">
      <w:pPr>
        <w:pStyle w:val="a7"/>
        <w:tabs>
          <w:tab w:val="left" w:pos="709"/>
          <w:tab w:val="left" w:pos="993"/>
        </w:tabs>
        <w:ind w:left="0" w:firstLine="567"/>
        <w:rPr>
          <w:sz w:val="28"/>
          <w:szCs w:val="28"/>
        </w:rPr>
      </w:pPr>
      <w:r>
        <w:rPr>
          <w:sz w:val="28"/>
          <w:szCs w:val="28"/>
        </w:rPr>
        <w:t>Академічні ресурси:</w:t>
      </w:r>
    </w:p>
    <w:p w:rsidR="002F2A68" w:rsidRDefault="001B1791">
      <w:pPr>
        <w:pStyle w:val="a7"/>
        <w:tabs>
          <w:tab w:val="left" w:pos="709"/>
          <w:tab w:val="left" w:pos="993"/>
        </w:tabs>
        <w:ind w:left="0" w:firstLine="567"/>
        <w:rPr>
          <w:sz w:val="28"/>
          <w:szCs w:val="28"/>
        </w:rPr>
      </w:pPr>
      <w:r>
        <w:rPr>
          <w:sz w:val="28"/>
          <w:szCs w:val="28"/>
        </w:rPr>
        <w:t>1. Репозитарій академічних статей, таких як Google Scholar або ResearchGate, для пошуку актуальних наукових досліджень та публікацій з курсу.</w:t>
      </w:r>
    </w:p>
    <w:p w:rsidR="002F2A68" w:rsidRDefault="001B1791">
      <w:pPr>
        <w:pStyle w:val="a7"/>
        <w:tabs>
          <w:tab w:val="left" w:pos="709"/>
          <w:tab w:val="left" w:pos="993"/>
        </w:tabs>
        <w:ind w:left="0" w:firstLine="567"/>
        <w:rPr>
          <w:sz w:val="28"/>
          <w:szCs w:val="28"/>
        </w:rPr>
      </w:pPr>
      <w:r>
        <w:rPr>
          <w:sz w:val="28"/>
          <w:szCs w:val="28"/>
        </w:rPr>
        <w:t xml:space="preserve">2. Archer – інституційний репозитарій відкритого доступу представників Чернівецького національного університету імені Юрія Федьковича. URL: </w:t>
      </w:r>
      <w:hyperlink r:id="rId13" w:history="1">
        <w:r>
          <w:rPr>
            <w:rStyle w:val="a4"/>
            <w:sz w:val="28"/>
            <w:szCs w:val="28"/>
          </w:rPr>
          <w:t>https://archer.chnu.edu.ua</w:t>
        </w:r>
      </w:hyperlink>
      <w:r>
        <w:rPr>
          <w:sz w:val="28"/>
          <w:szCs w:val="28"/>
        </w:rPr>
        <w:t>.</w:t>
      </w:r>
    </w:p>
    <w:p w:rsidR="002F2A68" w:rsidRDefault="001B1791">
      <w:pPr>
        <w:pStyle w:val="a7"/>
        <w:tabs>
          <w:tab w:val="left" w:pos="709"/>
          <w:tab w:val="left" w:pos="993"/>
        </w:tabs>
        <w:ind w:left="0" w:firstLine="567"/>
        <w:rPr>
          <w:sz w:val="28"/>
          <w:szCs w:val="28"/>
        </w:rPr>
      </w:pPr>
      <w:r>
        <w:rPr>
          <w:sz w:val="28"/>
          <w:szCs w:val="28"/>
        </w:rPr>
        <w:t>Офіційні сайти органів державного управління України:</w:t>
      </w:r>
    </w:p>
    <w:p w:rsidR="002F2A68" w:rsidRDefault="001B1791">
      <w:pPr>
        <w:pStyle w:val="a7"/>
        <w:numPr>
          <w:ilvl w:val="0"/>
          <w:numId w:val="2"/>
        </w:numPr>
        <w:tabs>
          <w:tab w:val="left" w:pos="851"/>
          <w:tab w:val="left" w:pos="980"/>
        </w:tabs>
        <w:autoSpaceDE/>
        <w:autoSpaceDN/>
        <w:ind w:left="0" w:firstLine="567"/>
        <w:contextualSpacing/>
        <w:rPr>
          <w:sz w:val="28"/>
          <w:szCs w:val="28"/>
        </w:rPr>
      </w:pPr>
      <w:r>
        <w:rPr>
          <w:sz w:val="28"/>
        </w:rPr>
        <w:t>Офіційний сайт</w:t>
      </w:r>
      <w:r>
        <w:rPr>
          <w:sz w:val="28"/>
          <w:szCs w:val="28"/>
        </w:rPr>
        <w:t xml:space="preserve"> Верховної Ради України. </w:t>
      </w:r>
      <w:r>
        <w:rPr>
          <w:sz w:val="28"/>
        </w:rPr>
        <w:t>URL:</w:t>
      </w:r>
      <w:r>
        <w:rPr>
          <w:sz w:val="28"/>
          <w:szCs w:val="28"/>
        </w:rPr>
        <w:t xml:space="preserve"> </w:t>
      </w:r>
      <w:hyperlink r:id="rId14" w:history="1">
        <w:r>
          <w:rPr>
            <w:rStyle w:val="a4"/>
            <w:sz w:val="28"/>
          </w:rPr>
          <w:t>www.rada.gov.ua</w:t>
        </w:r>
        <w:r>
          <w:rPr>
            <w:rStyle w:val="a4"/>
            <w:sz w:val="28"/>
            <w:lang w:val="en-US"/>
          </w:rPr>
          <w:t>/</w:t>
        </w:r>
      </w:hyperlink>
      <w:r>
        <w:rPr>
          <w:sz w:val="28"/>
          <w:szCs w:val="28"/>
        </w:rPr>
        <w:t xml:space="preserve">.  </w:t>
      </w:r>
    </w:p>
    <w:p w:rsidR="002F2A68" w:rsidRDefault="001B1791">
      <w:pPr>
        <w:pStyle w:val="a7"/>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Кабінету Міністрів України. </w:t>
      </w:r>
      <w:r>
        <w:rPr>
          <w:sz w:val="28"/>
        </w:rPr>
        <w:t xml:space="preserve">URL: </w:t>
      </w:r>
      <w:hyperlink r:id="rId15" w:history="1">
        <w:r>
          <w:rPr>
            <w:rStyle w:val="a4"/>
            <w:sz w:val="28"/>
          </w:rPr>
          <w:t>https://www.kmu.gov.ua</w:t>
        </w:r>
      </w:hyperlink>
      <w:r>
        <w:rPr>
          <w:sz w:val="28"/>
        </w:rPr>
        <w:t xml:space="preserve">. </w:t>
      </w:r>
    </w:p>
    <w:p w:rsidR="002F2A68" w:rsidRDefault="001B1791">
      <w:pPr>
        <w:pStyle w:val="a7"/>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казначейської служби України. </w:t>
      </w:r>
      <w:r>
        <w:rPr>
          <w:sz w:val="28"/>
        </w:rPr>
        <w:t xml:space="preserve">URL: </w:t>
      </w:r>
      <w:hyperlink r:id="rId16" w:history="1">
        <w:r>
          <w:rPr>
            <w:rStyle w:val="a4"/>
            <w:sz w:val="28"/>
          </w:rPr>
          <w:t>https://www.treasury.gov.ua</w:t>
        </w:r>
      </w:hyperlink>
      <w:r>
        <w:rPr>
          <w:sz w:val="28"/>
        </w:rPr>
        <w:t xml:space="preserve">. </w:t>
      </w:r>
    </w:p>
    <w:p w:rsidR="002F2A68" w:rsidRDefault="001B1791">
      <w:pPr>
        <w:pStyle w:val="a7"/>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митної служби України. </w:t>
      </w:r>
      <w:r>
        <w:rPr>
          <w:sz w:val="28"/>
        </w:rPr>
        <w:t xml:space="preserve">URL: </w:t>
      </w:r>
      <w:hyperlink r:id="rId17" w:history="1">
        <w:r>
          <w:rPr>
            <w:rStyle w:val="a4"/>
            <w:sz w:val="28"/>
          </w:rPr>
          <w:t>https://customs.gov.ua</w:t>
        </w:r>
      </w:hyperlink>
      <w:r>
        <w:rPr>
          <w:sz w:val="28"/>
        </w:rPr>
        <w:t xml:space="preserve">. </w:t>
      </w:r>
    </w:p>
    <w:p w:rsidR="002F2A68" w:rsidRDefault="001B1791">
      <w:pPr>
        <w:pStyle w:val="a7"/>
        <w:numPr>
          <w:ilvl w:val="0"/>
          <w:numId w:val="2"/>
        </w:numPr>
        <w:tabs>
          <w:tab w:val="left" w:pos="851"/>
          <w:tab w:val="left" w:pos="980"/>
        </w:tabs>
        <w:autoSpaceDE/>
        <w:autoSpaceDN/>
        <w:ind w:left="0" w:firstLine="567"/>
        <w:contextualSpacing/>
        <w:rPr>
          <w:sz w:val="28"/>
          <w:szCs w:val="28"/>
        </w:rPr>
      </w:pPr>
      <w:r>
        <w:rPr>
          <w:sz w:val="28"/>
          <w:szCs w:val="28"/>
        </w:rPr>
        <w:t xml:space="preserve">Офіційний сайт Державної податкової служби України. </w:t>
      </w:r>
      <w:r>
        <w:rPr>
          <w:sz w:val="28"/>
        </w:rPr>
        <w:t xml:space="preserve">URL: </w:t>
      </w:r>
      <w:hyperlink r:id="rId18" w:history="1">
        <w:r>
          <w:rPr>
            <w:rStyle w:val="a4"/>
            <w:sz w:val="28"/>
          </w:rPr>
          <w:t>https://tax.gov.ua</w:t>
        </w:r>
      </w:hyperlink>
      <w:r>
        <w:rPr>
          <w:sz w:val="28"/>
        </w:rPr>
        <w:t xml:space="preserve">. </w:t>
      </w:r>
    </w:p>
    <w:p w:rsidR="002F2A68" w:rsidRDefault="001B1791">
      <w:pPr>
        <w:pStyle w:val="a7"/>
        <w:numPr>
          <w:ilvl w:val="0"/>
          <w:numId w:val="2"/>
        </w:numPr>
        <w:tabs>
          <w:tab w:val="left" w:pos="851"/>
          <w:tab w:val="left" w:pos="980"/>
        </w:tabs>
        <w:autoSpaceDE/>
        <w:autoSpaceDN/>
        <w:ind w:left="0" w:firstLine="567"/>
        <w:contextualSpacing/>
        <w:rPr>
          <w:sz w:val="28"/>
          <w:szCs w:val="28"/>
        </w:rPr>
      </w:pPr>
      <w:r>
        <w:rPr>
          <w:sz w:val="28"/>
        </w:rPr>
        <w:t>Офіційний сайт</w:t>
      </w:r>
      <w:r>
        <w:rPr>
          <w:sz w:val="28"/>
          <w:szCs w:val="28"/>
        </w:rPr>
        <w:t xml:space="preserve"> Міністерства фінансів України. </w:t>
      </w:r>
      <w:r>
        <w:rPr>
          <w:sz w:val="28"/>
        </w:rPr>
        <w:t xml:space="preserve">URL: </w:t>
      </w:r>
      <w:hyperlink r:id="rId19" w:history="1">
        <w:r>
          <w:rPr>
            <w:rStyle w:val="a4"/>
            <w:sz w:val="28"/>
            <w:szCs w:val="28"/>
          </w:rPr>
          <w:t>www.minfin.gov.ua</w:t>
        </w:r>
      </w:hyperlink>
      <w:r>
        <w:rPr>
          <w:sz w:val="28"/>
        </w:rPr>
        <w:t xml:space="preserve">. </w:t>
      </w:r>
    </w:p>
    <w:p w:rsidR="002F2A68" w:rsidRDefault="001B1791">
      <w:pPr>
        <w:pStyle w:val="a7"/>
        <w:numPr>
          <w:ilvl w:val="0"/>
          <w:numId w:val="2"/>
        </w:numPr>
        <w:tabs>
          <w:tab w:val="left" w:pos="851"/>
          <w:tab w:val="left" w:pos="980"/>
        </w:tabs>
        <w:autoSpaceDE/>
        <w:autoSpaceDN/>
        <w:ind w:left="0" w:firstLine="567"/>
        <w:contextualSpacing/>
        <w:rPr>
          <w:sz w:val="28"/>
          <w:szCs w:val="28"/>
        </w:rPr>
      </w:pPr>
      <w:r>
        <w:rPr>
          <w:sz w:val="28"/>
          <w:szCs w:val="28"/>
        </w:rPr>
        <w:t>Офіційний сайт Міністерства економіки України.</w:t>
      </w:r>
      <w:r>
        <w:rPr>
          <w:sz w:val="28"/>
        </w:rPr>
        <w:t xml:space="preserve"> URL:</w:t>
      </w:r>
      <w:r>
        <w:rPr>
          <w:sz w:val="28"/>
          <w:szCs w:val="28"/>
        </w:rPr>
        <w:t xml:space="preserve"> </w:t>
      </w:r>
      <w:hyperlink r:id="rId20" w:history="1">
        <w:r>
          <w:rPr>
            <w:rStyle w:val="a4"/>
            <w:sz w:val="28"/>
            <w:szCs w:val="28"/>
          </w:rPr>
          <w:t>https://www.me.gov.ua</w:t>
        </w:r>
      </w:hyperlink>
      <w:r>
        <w:rPr>
          <w:rStyle w:val="a4"/>
          <w:sz w:val="28"/>
          <w:szCs w:val="28"/>
        </w:rPr>
        <w:t>.</w:t>
      </w:r>
    </w:p>
    <w:p w:rsidR="002F2A68" w:rsidRDefault="002F2A68">
      <w:pPr>
        <w:widowControl w:val="0"/>
        <w:spacing w:after="0" w:line="240" w:lineRule="auto"/>
        <w:jc w:val="both"/>
        <w:rPr>
          <w:rFonts w:ascii="Times New Roman" w:hAnsi="Times New Roman" w:cs="Times New Roman"/>
          <w:sz w:val="28"/>
          <w:szCs w:val="28"/>
        </w:rPr>
      </w:pPr>
    </w:p>
    <w:p w:rsidR="002F2A68" w:rsidRDefault="002F2A68">
      <w:pPr>
        <w:widowControl w:val="0"/>
        <w:spacing w:after="0" w:line="240" w:lineRule="auto"/>
        <w:jc w:val="both"/>
        <w:rPr>
          <w:rFonts w:ascii="Times New Roman" w:hAnsi="Times New Roman" w:cs="Times New Roman"/>
          <w:sz w:val="28"/>
          <w:szCs w:val="28"/>
        </w:rPr>
      </w:pPr>
    </w:p>
    <w:p w:rsidR="002F2A68" w:rsidRDefault="001B1791">
      <w:pPr>
        <w:widowControl w:val="0"/>
        <w:spacing w:after="0" w:line="240" w:lineRule="auto"/>
        <w:jc w:val="center"/>
        <w:rPr>
          <w:rFonts w:ascii="Times New Roman" w:hAnsi="Times New Roman" w:cs="Times New Roman"/>
          <w:sz w:val="28"/>
          <w:szCs w:val="28"/>
        </w:rPr>
      </w:pPr>
      <w:r>
        <w:rPr>
          <w:rFonts w:ascii="Times New Roman" w:hAnsi="Times New Roman"/>
          <w:b/>
          <w:bCs/>
          <w:i/>
          <w:iCs/>
          <w:sz w:val="28"/>
          <w:szCs w:val="28"/>
        </w:rPr>
        <w:t>Детальна інформація щодо вивчення курсу «Облік і оподаткування зовнішньоекономічної діяльності»</w:t>
      </w:r>
      <w:r>
        <w:rPr>
          <w:rFonts w:ascii="Times New Roman" w:hAnsi="Times New Roman"/>
          <w:bCs/>
          <w:i/>
          <w:iCs/>
          <w:sz w:val="28"/>
          <w:szCs w:val="28"/>
        </w:rPr>
        <w:t xml:space="preserve"> </w:t>
      </w:r>
      <w:r>
        <w:rPr>
          <w:rFonts w:ascii="Times New Roman" w:hAnsi="Times New Roman"/>
          <w:b/>
          <w:bCs/>
          <w:i/>
          <w:iCs/>
          <w:sz w:val="28"/>
          <w:szCs w:val="28"/>
        </w:rPr>
        <w:t>висвітлена у робочій програмі навчальної дисципліни</w:t>
      </w:r>
    </w:p>
    <w:p w:rsidR="002F2A68" w:rsidRDefault="001B1791">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hyperlink r:id="rId21" w:history="1">
        <w:r>
          <w:rPr>
            <w:rStyle w:val="a4"/>
            <w:rFonts w:ascii="Times New Roman" w:hAnsi="Times New Roman" w:cs="Times New Roman"/>
            <w:sz w:val="28"/>
            <w:szCs w:val="28"/>
          </w:rPr>
          <w:t>https://drive.google.com/drive/folders/1B1pUSSFmyizwUHxYYeVfXv5ydQ28aYqA</w:t>
        </w:r>
      </w:hyperlink>
      <w:r>
        <w:rPr>
          <w:rFonts w:ascii="Times New Roman" w:hAnsi="Times New Roman" w:cs="Times New Roman"/>
          <w:sz w:val="28"/>
          <w:szCs w:val="28"/>
        </w:rPr>
        <w:t xml:space="preserve">)  </w:t>
      </w:r>
    </w:p>
    <w:p w:rsidR="002F2A68" w:rsidRDefault="002F2A68">
      <w:pPr>
        <w:widowControl w:val="0"/>
        <w:spacing w:after="0" w:line="240" w:lineRule="auto"/>
        <w:jc w:val="both"/>
        <w:rPr>
          <w:rFonts w:ascii="Times New Roman" w:hAnsi="Times New Roman" w:cs="Times New Roman"/>
          <w:sz w:val="28"/>
          <w:szCs w:val="28"/>
        </w:rPr>
      </w:pPr>
    </w:p>
    <w:p w:rsidR="002F2A68" w:rsidRDefault="002F2A68">
      <w:pPr>
        <w:widowControl w:val="0"/>
        <w:spacing w:after="0" w:line="240" w:lineRule="auto"/>
        <w:jc w:val="both"/>
        <w:rPr>
          <w:rFonts w:ascii="Times New Roman" w:hAnsi="Times New Roman" w:cs="Times New Roman"/>
          <w:sz w:val="28"/>
          <w:szCs w:val="28"/>
        </w:rPr>
      </w:pPr>
    </w:p>
    <w:p w:rsidR="002F2A68" w:rsidRDefault="002F2A68">
      <w:pPr>
        <w:widowControl w:val="0"/>
        <w:spacing w:after="0" w:line="240" w:lineRule="auto"/>
        <w:jc w:val="both"/>
        <w:rPr>
          <w:rFonts w:ascii="Times New Roman" w:hAnsi="Times New Roman" w:cs="Times New Roman"/>
          <w:sz w:val="28"/>
          <w:szCs w:val="28"/>
        </w:rPr>
      </w:pPr>
    </w:p>
    <w:p w:rsidR="002F2A68" w:rsidRDefault="002F2A68">
      <w:pPr>
        <w:widowControl w:val="0"/>
        <w:spacing w:after="0" w:line="240" w:lineRule="auto"/>
        <w:jc w:val="both"/>
        <w:rPr>
          <w:rFonts w:ascii="Times New Roman" w:hAnsi="Times New Roman" w:cs="Times New Roman"/>
          <w:sz w:val="28"/>
          <w:szCs w:val="28"/>
        </w:rPr>
      </w:pPr>
    </w:p>
    <w:p w:rsidR="002F2A68" w:rsidRDefault="002F2A68">
      <w:pPr>
        <w:widowControl w:val="0"/>
        <w:spacing w:after="0" w:line="240" w:lineRule="auto"/>
        <w:jc w:val="both"/>
        <w:rPr>
          <w:rFonts w:ascii="Times New Roman" w:hAnsi="Times New Roman" w:cs="Times New Roman"/>
          <w:sz w:val="28"/>
          <w:szCs w:val="28"/>
        </w:rPr>
      </w:pPr>
    </w:p>
    <w:sectPr w:rsidR="002F2A6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767" w:rsidRDefault="00E17767">
      <w:pPr>
        <w:spacing w:line="240" w:lineRule="auto"/>
      </w:pPr>
      <w:r>
        <w:separator/>
      </w:r>
    </w:p>
  </w:endnote>
  <w:endnote w:type="continuationSeparator" w:id="0">
    <w:p w:rsidR="00E17767" w:rsidRDefault="00E17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Semilight">
    <w:panose1 w:val="020B0502040204020203"/>
    <w:charset w:val="81"/>
    <w:family w:val="swiss"/>
    <w:pitch w:val="default"/>
    <w:sig w:usb0="900002AF" w:usb1="01D77CFB" w:usb2="00000012" w:usb3="00000000" w:csb0="203E01BD" w:csb1="D7FF0000"/>
  </w:font>
  <w:font w:name="Arial Unicode MS">
    <w:panose1 w:val="020B0604020202020204"/>
    <w:charset w:val="00"/>
    <w:family w:val="roman"/>
    <w:pitch w:val="default"/>
    <w:sig w:usb0="00000000" w:usb1="00000000" w:usb2="00000000" w:usb3="00000000" w:csb0="00000001" w:csb1="00000000"/>
  </w:font>
  <w:font w:name="+mn-ea">
    <w:altName w:val="Times New Roman"/>
    <w:charset w:val="00"/>
    <w:family w:val="roman"/>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767" w:rsidRDefault="00E17767">
      <w:pPr>
        <w:spacing w:after="0"/>
      </w:pPr>
      <w:r>
        <w:separator/>
      </w:r>
    </w:p>
  </w:footnote>
  <w:footnote w:type="continuationSeparator" w:id="0">
    <w:p w:rsidR="00E17767" w:rsidRDefault="00E1776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2B9"/>
    <w:multiLevelType w:val="multilevel"/>
    <w:tmpl w:val="031E52B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31D16957"/>
    <w:multiLevelType w:val="multilevel"/>
    <w:tmpl w:val="31D16957"/>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5A"/>
    <w:rsid w:val="000204E0"/>
    <w:rsid w:val="00050A90"/>
    <w:rsid w:val="001063FA"/>
    <w:rsid w:val="001B1791"/>
    <w:rsid w:val="002E5CD8"/>
    <w:rsid w:val="002F2A68"/>
    <w:rsid w:val="004139CC"/>
    <w:rsid w:val="00427B40"/>
    <w:rsid w:val="00466020"/>
    <w:rsid w:val="00486B62"/>
    <w:rsid w:val="005961AA"/>
    <w:rsid w:val="00672B4B"/>
    <w:rsid w:val="006A0000"/>
    <w:rsid w:val="00874AB2"/>
    <w:rsid w:val="009852F3"/>
    <w:rsid w:val="009B2B9B"/>
    <w:rsid w:val="00A9013B"/>
    <w:rsid w:val="00AC76F0"/>
    <w:rsid w:val="00AD148B"/>
    <w:rsid w:val="00BB248A"/>
    <w:rsid w:val="00C367DF"/>
    <w:rsid w:val="00D3198C"/>
    <w:rsid w:val="00D96168"/>
    <w:rsid w:val="00E17767"/>
    <w:rsid w:val="00E34EE3"/>
    <w:rsid w:val="00E3708F"/>
    <w:rsid w:val="00EC155A"/>
    <w:rsid w:val="00EE2923"/>
    <w:rsid w:val="00EE6408"/>
    <w:rsid w:val="00EF7B16"/>
    <w:rsid w:val="00F1290D"/>
    <w:rsid w:val="00F603A2"/>
    <w:rsid w:val="1D454431"/>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696979D-AD2A-4A82-B389-FAC8A5FB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563C1" w:themeColor="hyperlink"/>
      <w:u w:val="single"/>
    </w:rPr>
  </w:style>
  <w:style w:type="paragraph" w:styleId="a5">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pPr>
      <w:widowControl w:val="0"/>
      <w:autoSpaceDE w:val="0"/>
      <w:autoSpaceDN w:val="0"/>
      <w:spacing w:after="0" w:line="240" w:lineRule="auto"/>
      <w:ind w:left="859" w:hanging="360"/>
      <w:jc w:val="both"/>
    </w:pPr>
    <w:rPr>
      <w:rFonts w:ascii="Times New Roman" w:eastAsia="Times New Roman" w:hAnsi="Times New Roman" w:cs="Times New Roman"/>
    </w:rPr>
  </w:style>
  <w:style w:type="character" w:customStyle="1" w:styleId="a8">
    <w:name w:val="Абзац списка Знак"/>
    <w:link w:val="a7"/>
    <w:uiPriority w:val="34"/>
    <w:qFormat/>
    <w:locked/>
    <w:rPr>
      <w:rFonts w:ascii="Times New Roman" w:eastAsia="Times New Roman" w:hAnsi="Times New Roman" w:cs="Times New Roma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2">
    <w:name w:val="Основной текст (2)_"/>
    <w:link w:val="20"/>
    <w:qFormat/>
    <w:rPr>
      <w:sz w:val="26"/>
      <w:szCs w:val="26"/>
      <w:shd w:val="clear" w:color="auto" w:fill="FFFFFF"/>
    </w:rPr>
  </w:style>
  <w:style w:type="paragraph" w:customStyle="1" w:styleId="20">
    <w:name w:val="Основной текст (2)"/>
    <w:basedOn w:val="a"/>
    <w:link w:val="2"/>
    <w:qFormat/>
    <w:pPr>
      <w:widowControl w:val="0"/>
      <w:shd w:val="clear" w:color="auto" w:fill="FFFFFF"/>
      <w:spacing w:after="0" w:line="451" w:lineRule="exact"/>
      <w:ind w:hanging="40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unting.chnu.edu.ua/pro-nas/kolektyv/tanasiieva-maryna-mykolaivna/" TargetMode="External"/><Relationship Id="rId13" Type="http://schemas.openxmlformats.org/officeDocument/2006/relationships/hyperlink" Target="https://archer.chnu.edu.ua" TargetMode="External"/><Relationship Id="rId18" Type="http://schemas.openxmlformats.org/officeDocument/2006/relationships/hyperlink" Target="https://tax.gov.ua" TargetMode="External"/><Relationship Id="rId3" Type="http://schemas.openxmlformats.org/officeDocument/2006/relationships/settings" Target="settings.xml"/><Relationship Id="rId21" Type="http://schemas.openxmlformats.org/officeDocument/2006/relationships/hyperlink" Target="https://drive.google.com/drive/folders/1B1pUSSFmyizwUHxYYeVfXv5ydQ28aYqA" TargetMode="External"/><Relationship Id="rId7" Type="http://schemas.openxmlformats.org/officeDocument/2006/relationships/image" Target="media/image1.jpeg"/><Relationship Id="rId12" Type="http://schemas.openxmlformats.org/officeDocument/2006/relationships/hyperlink" Target="https://www.chnu.edu.ua/media/hkzbr1b2/polozhennia-pro-vyiavlennia-ta-zapobihannia-akademichnomu-plahiatu-u-chnu-2025.pdf" TargetMode="External"/><Relationship Id="rId17" Type="http://schemas.openxmlformats.org/officeDocument/2006/relationships/hyperlink" Target="https://customs.gov.ua" TargetMode="External"/><Relationship Id="rId2" Type="http://schemas.openxmlformats.org/officeDocument/2006/relationships/styles" Target="styles.xml"/><Relationship Id="rId16" Type="http://schemas.openxmlformats.org/officeDocument/2006/relationships/hyperlink" Target="https://www.treasury.gov.ua" TargetMode="External"/><Relationship Id="rId20" Type="http://schemas.openxmlformats.org/officeDocument/2006/relationships/hyperlink" Target="https://www.me.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nu.edu.ua/media/jxdbs0zb/etychnyi-kodeks-chernivets%20koho-natsionalnoho-universytetu.pdf" TargetMode="External"/><Relationship Id="rId5" Type="http://schemas.openxmlformats.org/officeDocument/2006/relationships/footnotes" Target="footnotes.xml"/><Relationship Id="rId15" Type="http://schemas.openxmlformats.org/officeDocument/2006/relationships/hyperlink" Target="https://www.kmu.gov.ua" TargetMode="External"/><Relationship Id="rId23" Type="http://schemas.openxmlformats.org/officeDocument/2006/relationships/theme" Target="theme/theme1.xml"/><Relationship Id="rId10" Type="http://schemas.openxmlformats.org/officeDocument/2006/relationships/hyperlink" Target="https://moodle.chnu.edu.ua/course/view.php?id=3014" TargetMode="External"/><Relationship Id="rId19" Type="http://schemas.openxmlformats.org/officeDocument/2006/relationships/hyperlink" Target="http://www.minfin.gov.ua" TargetMode="External"/><Relationship Id="rId4" Type="http://schemas.openxmlformats.org/officeDocument/2006/relationships/webSettings" Target="webSettings.xml"/><Relationship Id="rId9" Type="http://schemas.openxmlformats.org/officeDocument/2006/relationships/hyperlink" Target="mailto:m.tanasiyeva@chnu.edu.ua" TargetMode="External"/><Relationship Id="rId14" Type="http://schemas.openxmlformats.org/officeDocument/2006/relationships/hyperlink" Target="http://www.rada.gov.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1067</Words>
  <Characters>6086</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2024-08-07T10:36:00Z</dcterms:created>
  <dcterms:modified xsi:type="dcterms:W3CDTF">2025-10-31T12:25:00Z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6FB843AFDC274490A9C40E9632D2951C_12</vt:lpwstr>
  </property>
</Properties>
</file>