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F3F7F1" w14:textId="0A593029" w:rsidR="005407BC" w:rsidRPr="003519A6" w:rsidRDefault="00BE28C9" w:rsidP="00885D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A6">
        <w:rPr>
          <w:rFonts w:ascii="Times New Roman" w:hAnsi="Times New Roman" w:cs="Times New Roman"/>
          <w:b/>
          <w:bCs/>
          <w:sz w:val="28"/>
          <w:szCs w:val="28"/>
        </w:rPr>
        <w:t>ПОРІВНЯЛЬНА ТАБЛИЦЯ ЗМІН ДО</w:t>
      </w:r>
      <w:r w:rsidR="00885DAD" w:rsidRPr="00351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DAD" w:rsidRPr="003519A6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5DAD" w:rsidRPr="003519A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885DAD" w:rsidRPr="00351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DAD" w:rsidRPr="003519A6">
        <w:rPr>
          <w:rFonts w:ascii="Times New Roman" w:hAnsi="Times New Roman" w:cs="Times New Roman"/>
          <w:sz w:val="28"/>
          <w:szCs w:val="28"/>
          <w:lang w:val="uk-UA"/>
        </w:rPr>
        <w:t>ПРО НАВЧАЛЬНО-НАУКОВУ ЛАБОРАТОРІЮ «ІННОВАЦІЙНА ЛАБОРАТОРІЯ ДОСЛІДЖЕННЯ ЗМІН КЛІМАТУ»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44"/>
        <w:gridCol w:w="4945"/>
      </w:tblGrid>
      <w:tr w:rsidR="005407BC" w:rsidRPr="00FD76DF" w14:paraId="1D328052" w14:textId="77777777" w:rsidTr="005407BC">
        <w:tc>
          <w:tcPr>
            <w:tcW w:w="4944" w:type="dxa"/>
          </w:tcPr>
          <w:p w14:paraId="155B906F" w14:textId="63DFD572" w:rsidR="005407BC" w:rsidRPr="00A00121" w:rsidRDefault="00FD76DF" w:rsidP="00FD76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</w:pPr>
            <w:r w:rsidRPr="00A00121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>Попередня редакція</w:t>
            </w:r>
          </w:p>
        </w:tc>
        <w:tc>
          <w:tcPr>
            <w:tcW w:w="4945" w:type="dxa"/>
          </w:tcPr>
          <w:p w14:paraId="74C0A2CD" w14:textId="11CE3223" w:rsidR="005407BC" w:rsidRPr="00A00121" w:rsidRDefault="00FD76DF" w:rsidP="00FD76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</w:pPr>
            <w:r w:rsidRPr="00A00121">
              <w:rPr>
                <w:rFonts w:ascii="Times New Roman" w:hAnsi="Times New Roman" w:cs="Times New Roman"/>
                <w:b/>
                <w:bCs/>
                <w:highlight w:val="green"/>
                <w:lang w:val="uk-UA"/>
              </w:rPr>
              <w:t>Нова редакція</w:t>
            </w:r>
          </w:p>
        </w:tc>
      </w:tr>
      <w:tr w:rsidR="005407BC" w:rsidRPr="005407BC" w14:paraId="1FDC5316" w14:textId="77777777" w:rsidTr="005407BC">
        <w:tc>
          <w:tcPr>
            <w:tcW w:w="4944" w:type="dxa"/>
          </w:tcPr>
          <w:p w14:paraId="5BC7D111" w14:textId="334E352D" w:rsidR="003519A6" w:rsidRDefault="003519A6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</w:t>
            </w:r>
          </w:p>
          <w:p w14:paraId="062895AA" w14:textId="3F328776" w:rsidR="003519A6" w:rsidRDefault="003519A6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519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ПОЛОЖЕННЯ</w:t>
            </w:r>
            <w:r w:rsidR="00966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3519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ПРО НАВЧАЛЬНО-НАУКОВУ ЛАБОРАТОРІЮ «ІННОВАЦІЙНА ЛАБОРАТОРІЯ ДОСЛІДЖЕННЯ ЗМІН КЛІМАТУ»</w:t>
            </w:r>
          </w:p>
          <w:p w14:paraId="2458C652" w14:textId="77777777" w:rsidR="00966050" w:rsidRDefault="00966050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997368C" w14:textId="77777777" w:rsidR="00966050" w:rsidRDefault="00966050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AC0140" w14:textId="77777777" w:rsidR="00966050" w:rsidRDefault="00966050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EFFC976" w14:textId="10839E33" w:rsidR="005407BC" w:rsidRDefault="005407BC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ЗАГАЛЬНІ ПОЛОЖЕННЯ</w:t>
            </w:r>
          </w:p>
          <w:p w14:paraId="15E0944E" w14:textId="7CBD0FAD" w:rsidR="005407BC" w:rsidRDefault="005407BC" w:rsidP="0096605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Положення визначає основні завдання, права та організацію діяльності навчально-наукової лабораторії «Інноваційна лабораторія дослідження змін клімату» (далі – Лабораторія).</w:t>
            </w:r>
          </w:p>
          <w:p w14:paraId="63A61F0B" w14:textId="77777777" w:rsidR="005407BC" w:rsidRDefault="005407BC" w:rsidP="0096605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Лабораторія не має статусу юридичної особи, є навчально-науковим структурним підрозділом Чернівецького національного університету імені Юрія Федьковича та створена у межах виконання робочого пакету завдань №2 грантового проекту «Innovation Laboratories for Climate Actions» програми «EIT HEI Initiative» за підтримки Європейського Союзу та Climate-KIC.</w:t>
            </w:r>
          </w:p>
          <w:p w14:paraId="7701D75D" w14:textId="77777777" w:rsidR="005407BC" w:rsidRDefault="005407BC" w:rsidP="0096605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58000,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м.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Чернівці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Коцюбинського, 2 ауд. 30, Чернівецький національний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університет імені Юрія Федьковича, корпус №4, географічний факультет.</w:t>
            </w:r>
          </w:p>
          <w:p w14:paraId="1CAFF9FB" w14:textId="77777777" w:rsidR="005407BC" w:rsidRPr="005407BC" w:rsidRDefault="005407BC" w:rsidP="0096605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створюється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реорганізовується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ліквідується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наказом ректора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підставі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Вченої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2615DAF1" w14:textId="77777777" w:rsidR="005407BC" w:rsidRPr="005407BC" w:rsidRDefault="005407BC" w:rsidP="0096605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регламентується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нормативно-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правовими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актами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галузі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науки, Статутом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наказами,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розпорядженнями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ректора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571885B" w14:textId="77777777" w:rsidR="005407BC" w:rsidRPr="005407BC" w:rsidRDefault="005407BC" w:rsidP="00966050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945" w:type="dxa"/>
          </w:tcPr>
          <w:p w14:paraId="411FB095" w14:textId="77777777" w:rsidR="00966050" w:rsidRDefault="00966050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НАЗВА</w:t>
            </w:r>
          </w:p>
          <w:p w14:paraId="062248A6" w14:textId="787BC49C" w:rsidR="00966050" w:rsidRDefault="00966050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519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ПОЛОЖЕННЯ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3519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ПРО НАВЧАЛЬНО-НАУКОВУ ЛАБОРАТОРІЮ «ІННОВАЦІЙНА ЛАБОРАТОРІЯ ДОСЛІДЖЕННЯ ЗМІН КЛІМАТУ НА ОСНОВІ ШТУЧНОГО ІНТЕЛЕКТУ»</w:t>
            </w:r>
          </w:p>
          <w:p w14:paraId="3F3E3800" w14:textId="77777777" w:rsidR="003519A6" w:rsidRDefault="003519A6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40BF320" w14:textId="1BAC6227" w:rsidR="005407BC" w:rsidRDefault="005407BC" w:rsidP="009660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ЗАГАЛЬНІ ПОЛОЖЕННЯ</w:t>
            </w:r>
          </w:p>
          <w:p w14:paraId="497AD323" w14:textId="7C0F6285" w:rsidR="005407BC" w:rsidRDefault="005407BC" w:rsidP="0096605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6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Положення визначає основні завдання, права та організацію діяльності навчально-наукової лабораторії «Інноваційна лабораторія дослідження змін клімату» (далі – Лабораторія).</w:t>
            </w:r>
          </w:p>
          <w:p w14:paraId="0802CE9E" w14:textId="77777777" w:rsidR="005407BC" w:rsidRDefault="005407BC" w:rsidP="0096605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Лабораторія не має статусу юридичної особи, є навчально-науковим структурним підрозділом Чернівецького національного університету імені Юрія Федьковича та створена у межах виконання робочого пакету завдань №2 грантового проекту «Innovation Laboratories for Climate Actions» програми «EIT HEI Initiative» за підтримки Європейського Союзу та Climate-KIC.</w:t>
            </w:r>
          </w:p>
          <w:p w14:paraId="6EBD4243" w14:textId="77777777" w:rsidR="005407BC" w:rsidRDefault="005407BC" w:rsidP="0096605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58000,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м.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Чернівці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Коцюбинського, 2 ауд. 30, Чернівецький національний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університет імені Юрія Федьковича, корпус №4, географічний факультет.</w:t>
            </w:r>
          </w:p>
          <w:p w14:paraId="6DA3ED63" w14:textId="77777777" w:rsidR="005407BC" w:rsidRPr="005407BC" w:rsidRDefault="005407BC" w:rsidP="0096605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створюється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реорганізовується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ліквідується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наказом ректора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підставі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Вченої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4D6E248" w14:textId="77777777" w:rsidR="005407BC" w:rsidRPr="005407BC" w:rsidRDefault="005407BC" w:rsidP="0096605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регламентується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нормативно-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правовими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актами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галузі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науки, Статутом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наказами,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розпорядженнями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ректора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5F88D83C" w14:textId="77777777" w:rsidR="005407BC" w:rsidRPr="005407BC" w:rsidRDefault="005407BC" w:rsidP="00966050">
            <w:pPr>
              <w:spacing w:after="0"/>
              <w:jc w:val="center"/>
              <w:rPr>
                <w:lang w:val="ru-RU"/>
              </w:rPr>
            </w:pPr>
          </w:p>
        </w:tc>
      </w:tr>
      <w:tr w:rsidR="005407BC" w:rsidRPr="005407BC" w14:paraId="72C18B1C" w14:textId="77777777" w:rsidTr="005407BC">
        <w:tc>
          <w:tcPr>
            <w:tcW w:w="4944" w:type="dxa"/>
          </w:tcPr>
          <w:p w14:paraId="153DE6B8" w14:textId="77777777" w:rsidR="005407BC" w:rsidRDefault="005407BC" w:rsidP="005407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1066" w:hanging="3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ОСНОВНІ ЗАВДАННЯ ТА ФУНКЦІЇ </w:t>
            </w:r>
          </w:p>
          <w:p w14:paraId="02C8E3E9" w14:textId="77777777" w:rsidR="005407BC" w:rsidRPr="005407BC" w:rsidRDefault="005407BC" w:rsidP="005407B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утворена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метою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міждисциплінарного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потенціалу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кліматичних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соціальних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інновацій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6FDC048F" w14:textId="77777777" w:rsidR="005407BC" w:rsidRDefault="005407BC" w:rsidP="005407B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 завдання Лабораторії:</w:t>
            </w:r>
          </w:p>
          <w:p w14:paraId="66A7D484" w14:textId="77777777" w:rsid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посилити людський капітал у сфері кліматичних інновацій та підприємництва шляхом навчання та наставництва студентів, академічного та неакадемічного персоналу щодо системного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вирішення проблем сталого розвитку;</w:t>
            </w:r>
          </w:p>
          <w:p w14:paraId="4F90B261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формування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навчальної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наукової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практичної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екосистеми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проєктів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кліматичних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інновацій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7D1818B0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готовності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конкурентоспроможності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середніх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(МСП)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процесі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кліматичних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діджиталізації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207815E5" w14:textId="77777777" w:rsidR="005407BC" w:rsidRDefault="005407BC" w:rsidP="005407B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 функції Лабораторії:</w:t>
            </w:r>
          </w:p>
          <w:p w14:paraId="39ECB2B5" w14:textId="77777777" w:rsid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організація, координація та проведення наукових досліджень у сфері кліматичних інновацій та підприємництва;</w:t>
            </w:r>
          </w:p>
          <w:p w14:paraId="48908C4A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підвищення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викладацького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складу кафедр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6C62D81C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мікрокурсів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аспірантів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27099339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залучення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практик та дипломного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проєктування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3561BEA9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організація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студентських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інкубаційних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пітчинг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бізнес-ідей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01DC21C8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бізнес-проєктів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підприємців-початківців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всіх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етапах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ідеї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комерціалізації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;  </w:t>
            </w:r>
          </w:p>
          <w:p w14:paraId="75089499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консалтингова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скейлапів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26C2BF0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  <w:tc>
          <w:tcPr>
            <w:tcW w:w="4945" w:type="dxa"/>
          </w:tcPr>
          <w:p w14:paraId="5AB65E7C" w14:textId="77777777" w:rsidR="005407BC" w:rsidRDefault="005407BC" w:rsidP="005407B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1066" w:hanging="3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ОСНОВНІ ЗАВДАННЯ ТА ФУНКЦІЇ </w:t>
            </w:r>
          </w:p>
          <w:p w14:paraId="215393C4" w14:textId="77777777" w:rsidR="005407BC" w:rsidRPr="005407BC" w:rsidRDefault="005407BC" w:rsidP="005407B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утворена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метою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міждисциплінарного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потенціалу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кліматичних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соціальних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інновацій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14:paraId="1E587C14" w14:textId="77777777" w:rsidR="005407BC" w:rsidRDefault="005407BC" w:rsidP="005407B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 завдання Лабораторії:</w:t>
            </w:r>
          </w:p>
          <w:p w14:paraId="439CD5BF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330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посилити людський капітал у сфері кліматичних інновацій та підприємництва шляхом навчання та наставництва студентів, академічного та неакадемічного персоналу щодо системного </w:t>
            </w:r>
            <w:r w:rsidRPr="00330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вирішення проблем сталого розвитку, 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з особливим акцентом на грамотність у сфері ШІ та поглиблені цифрові навички;</w:t>
            </w:r>
          </w:p>
          <w:p w14:paraId="72C0C8FD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330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формування навчальної, наукової, практичної екосистеми розробки та впровадження проєктів кліматичних інновацій 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із залученням технологій штучного інтелекту;</w:t>
            </w:r>
          </w:p>
          <w:p w14:paraId="68EB927C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A93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підтримка готовності та конкурентоспроможності малих і середніх підприємств (МСП) в процесі кліматичних змін та діджиталізації 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через впровадження аналітичних інструментів на основі штучного інтелекту.</w:t>
            </w:r>
          </w:p>
          <w:p w14:paraId="305F9390" w14:textId="77777777" w:rsidR="005407BC" w:rsidRDefault="005407BC" w:rsidP="005407B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 функції Лабораторії:</w:t>
            </w:r>
          </w:p>
          <w:p w14:paraId="5DACC018" w14:textId="77777777" w:rsid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організація, координація та проведення наукових досліджень у сфері кліматичних інновацій та підприємництва, включаючи аналіз гідрологічних та агрометеорологічних даних </w:t>
            </w:r>
            <w:r w:rsidRPr="0091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 допомогою алгоритмів ШІ для розробки місцевих дорожніх карт адаптації до кліматичних змін;</w:t>
            </w:r>
          </w:p>
          <w:p w14:paraId="47524F2E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підвищення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викладацького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складу кафедр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3BB47838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мікрокурсів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спеціалізованих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модулів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ШІ для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аспірантів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1574D463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залучення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практик та дипломного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проєктування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3E049DDA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студентських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інкубаційних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пітчинг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бізнес-ідей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52287D66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бізнес-проєктів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підприємців-початківців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всіх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етапах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розробки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ідеї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її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комерціалізації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;  </w:t>
            </w:r>
          </w:p>
          <w:p w14:paraId="765F9DA6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консалтингова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скейлапів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D2FE336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малого і середнього бізнесу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високоточними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оцінками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кліматичних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ризиків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моделями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оптимізації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ресурсів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основі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аналітичних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інструментів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штучного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інтелекту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14:paraId="412C7CD6" w14:textId="77777777" w:rsidR="005407BC" w:rsidRPr="005407BC" w:rsidRDefault="005407BC" w:rsidP="0054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консалтингових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механізмів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основі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ШІ для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стартапів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скейлапів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зорієнтованих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швидкий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пошук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зелених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технологій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можливостей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2BDFEFF" w14:textId="77777777" w:rsidR="005407BC" w:rsidRPr="005407BC" w:rsidRDefault="005407BC" w:rsidP="005407B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ADE71D3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</w:tr>
      <w:tr w:rsidR="005407BC" w:rsidRPr="005407BC" w14:paraId="070479ED" w14:textId="77777777" w:rsidTr="005407BC">
        <w:tc>
          <w:tcPr>
            <w:tcW w:w="4944" w:type="dxa"/>
          </w:tcPr>
          <w:p w14:paraId="348C0776" w14:textId="77777777" w:rsidR="005407BC" w:rsidRDefault="005407BC" w:rsidP="005407BC">
            <w:pPr>
              <w:shd w:val="clear" w:color="auto" w:fill="FFFFFF"/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 УПРАВЛІННЯ ТА СТРУКТУРА</w:t>
            </w:r>
          </w:p>
          <w:p w14:paraId="7B0703E5" w14:textId="77777777" w:rsidR="005407BC" w:rsidRDefault="005407BC" w:rsidP="005407B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Безпосереднє керівництво роботою Лабораторії здійснює завідувач Лабораторії з числа професорсько-викладацького складу університету, який призначається та звільняється ректором університету. </w:t>
            </w:r>
          </w:p>
          <w:p w14:paraId="572D53B6" w14:textId="77777777" w:rsidR="005407BC" w:rsidRPr="005407BC" w:rsidRDefault="005407BC" w:rsidP="005407B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Структура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динамічно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кожен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семестр у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вигляді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робочих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науково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-дослідних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відповідними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напрямами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залежності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запланованих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вирішуваних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конкретний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період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задач.</w:t>
            </w:r>
          </w:p>
          <w:p w14:paraId="06029AE6" w14:textId="42B08168" w:rsidR="005407BC" w:rsidRPr="005407BC" w:rsidRDefault="005407BC" w:rsidP="005407BC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залучає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виконання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основних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науково-педагогічних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аспірантів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високим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рейтинговим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показником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успішності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досягнень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945" w:type="dxa"/>
          </w:tcPr>
          <w:p w14:paraId="6A9619EA" w14:textId="77777777" w:rsidR="005407BC" w:rsidRDefault="005407BC" w:rsidP="005407BC">
            <w:pPr>
              <w:shd w:val="clear" w:color="auto" w:fill="FFFFFF"/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 УПРАВЛІННЯ ТА СТРУКТУРА</w:t>
            </w:r>
          </w:p>
          <w:p w14:paraId="1B6D2876" w14:textId="77777777" w:rsidR="005407BC" w:rsidRDefault="005407BC" w:rsidP="005407B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Безпосереднє керівництво роботою Лабораторії здійснює завідувач Лабораторії з числа професорсько-викладацького складу університету, який призначається та звільняється ректором університету. </w:t>
            </w:r>
          </w:p>
          <w:p w14:paraId="45B60145" w14:textId="77777777" w:rsidR="005407BC" w:rsidRPr="005407BC" w:rsidRDefault="005407BC" w:rsidP="005407B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Структура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динамічно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формується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кожен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семестр у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вигляді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робочих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навчальних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науково</w:t>
            </w:r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-дослідних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груп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відповідними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напрямами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залежності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запланованих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вирішуваних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конкретний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період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задач.</w:t>
            </w:r>
          </w:p>
          <w:p w14:paraId="725B9C10" w14:textId="77777777" w:rsidR="005407BC" w:rsidRPr="005407BC" w:rsidRDefault="005407BC" w:rsidP="005407BC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Лабораторія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залучає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виконання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основних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видів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науково-педагогічних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аспірантів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високим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рейтинговим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показником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успішності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наукових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досягнень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2CFD286C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</w:tr>
      <w:tr w:rsidR="005407BC" w:rsidRPr="005407BC" w14:paraId="06271A52" w14:textId="77777777" w:rsidTr="005407BC">
        <w:tc>
          <w:tcPr>
            <w:tcW w:w="4944" w:type="dxa"/>
          </w:tcPr>
          <w:p w14:paraId="5070E805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 ВЗАЄМОЗВ’ЯЗКИ З ІНШИМИ СТРУКТУРНИМИ ПІДРОЗДІЛАМИ УНІВЕРСИТЕТУ ТА СТОРОННІМИ ОРГАНІЗАЦІЯМИ</w:t>
            </w:r>
          </w:p>
          <w:p w14:paraId="1681FA50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4.1. Порядок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підрозділами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визначається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Статутом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контролюється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керівництвом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36C8829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4.2. Порядок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сторонніми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організаціями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визначається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наказами ректора у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встановленому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14:paraId="45B0501B" w14:textId="77777777" w:rsidR="005407BC" w:rsidRPr="005407BC" w:rsidRDefault="005407BC" w:rsidP="005407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1C61F89" w14:textId="77777777" w:rsidR="005407BC" w:rsidRPr="005407BC" w:rsidRDefault="005407BC" w:rsidP="005407BC">
            <w:pPr>
              <w:shd w:val="clear" w:color="auto" w:fill="FFFFFF"/>
              <w:spacing w:after="0" w:line="360" w:lineRule="auto"/>
              <w:ind w:firstLine="709"/>
              <w:jc w:val="both"/>
              <w:rPr>
                <w:lang w:val="ru-RU"/>
              </w:rPr>
            </w:pPr>
          </w:p>
        </w:tc>
        <w:tc>
          <w:tcPr>
            <w:tcW w:w="4945" w:type="dxa"/>
          </w:tcPr>
          <w:p w14:paraId="42901B0F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 ВЗАЄМОЗВ’ЯЗКИ З ІНШИМИ СТРУКТУРНИМИ ПІДРОЗДІЛАМИ УНІВЕРСИТЕТУ ТА СТОРОННІМИ ОРГАНІЗАЦІЯМИ</w:t>
            </w:r>
          </w:p>
          <w:p w14:paraId="2D6AF960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4.1. Порядок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підрозділами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визначається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Статутом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контролюється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керівництвом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BED9311" w14:textId="77777777" w:rsidR="005407BC" w:rsidRPr="005407BC" w:rsidRDefault="005407BC" w:rsidP="005407BC">
            <w:pPr>
              <w:tabs>
                <w:tab w:val="left" w:pos="126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4.2. Порядок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Лабораторії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сторонніми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організаціями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визначається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наказами ректора у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встановленому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14:paraId="38B4AB94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</w:tr>
      <w:tr w:rsidR="005407BC" w:rsidRPr="005407BC" w14:paraId="03F7B361" w14:textId="77777777" w:rsidTr="005407BC">
        <w:tc>
          <w:tcPr>
            <w:tcW w:w="4944" w:type="dxa"/>
          </w:tcPr>
          <w:p w14:paraId="01D6B732" w14:textId="77777777" w:rsidR="005407BC" w:rsidRPr="005407BC" w:rsidRDefault="005407BC" w:rsidP="005407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ПОРЯДОК ВНЕСЕННЯ ЗМІН І ДОПОВНЕНЬ</w:t>
            </w:r>
          </w:p>
          <w:p w14:paraId="253EAF44" w14:textId="77777777" w:rsidR="005407BC" w:rsidRDefault="005407BC" w:rsidP="005407B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Зміни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доповнення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даного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вносяться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затверджуються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Вченою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Чернівецького національного університету імені Юрія Федьковича.</w:t>
            </w:r>
          </w:p>
          <w:p w14:paraId="25296F31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  <w:tc>
          <w:tcPr>
            <w:tcW w:w="4945" w:type="dxa"/>
          </w:tcPr>
          <w:p w14:paraId="3F6E2D70" w14:textId="77777777" w:rsidR="005407BC" w:rsidRPr="005407BC" w:rsidRDefault="005407BC" w:rsidP="005407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540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ПОРЯДОК ВНЕСЕННЯ ЗМІН І ДОПОВНЕНЬ</w:t>
            </w:r>
          </w:p>
          <w:p w14:paraId="00D1FC21" w14:textId="77777777" w:rsidR="005407BC" w:rsidRDefault="005407BC" w:rsidP="005407B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Зміни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доповнення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даного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вносяться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затверджуються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Вченою</w:t>
            </w:r>
            <w:proofErr w:type="spellEnd"/>
            <w:r w:rsidRPr="005407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Чернівецького національного університету імені Юрія Федьковича.</w:t>
            </w:r>
          </w:p>
          <w:p w14:paraId="12C23AAF" w14:textId="77777777" w:rsidR="005407BC" w:rsidRDefault="005407BC" w:rsidP="005407B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9B7581" w14:textId="77777777" w:rsidR="005407BC" w:rsidRPr="005407BC" w:rsidRDefault="005407BC" w:rsidP="005407BC">
            <w:pPr>
              <w:spacing w:after="0"/>
              <w:rPr>
                <w:lang w:val="ru-RU"/>
              </w:rPr>
            </w:pPr>
          </w:p>
        </w:tc>
      </w:tr>
    </w:tbl>
    <w:p w14:paraId="071A7056" w14:textId="6557AF6F" w:rsidR="005813F2" w:rsidRDefault="005813F2" w:rsidP="005407BC">
      <w:pPr>
        <w:pStyle w:val="af2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sectPr w:rsidR="005813F2">
      <w:pgSz w:w="11906" w:h="16838"/>
      <w:pgMar w:top="709" w:right="567" w:bottom="1134" w:left="1440" w:header="35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EC31" w14:textId="77777777" w:rsidR="004826F3" w:rsidRDefault="004826F3">
      <w:pPr>
        <w:spacing w:after="0"/>
      </w:pPr>
      <w:r>
        <w:separator/>
      </w:r>
    </w:p>
  </w:endnote>
  <w:endnote w:type="continuationSeparator" w:id="0">
    <w:p w14:paraId="1A48B948" w14:textId="77777777" w:rsidR="004826F3" w:rsidRDefault="00482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C9C0" w14:textId="77777777" w:rsidR="004826F3" w:rsidRDefault="004826F3">
      <w:pPr>
        <w:spacing w:after="0"/>
      </w:pPr>
      <w:r>
        <w:separator/>
      </w:r>
    </w:p>
  </w:footnote>
  <w:footnote w:type="continuationSeparator" w:id="0">
    <w:p w14:paraId="133EA914" w14:textId="77777777" w:rsidR="004826F3" w:rsidRDefault="004826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C33"/>
    <w:multiLevelType w:val="multilevel"/>
    <w:tmpl w:val="47B8ADD4"/>
    <w:lvl w:ilvl="0">
      <w:start w:val="3"/>
      <w:numFmt w:val="decimal"/>
      <w:pStyle w:val="1"/>
      <w:lvlText w:val="%1."/>
      <w:lvlJc w:val="left"/>
      <w:pPr>
        <w:ind w:left="450" w:hanging="450"/>
      </w:pPr>
    </w:lvl>
    <w:lvl w:ilvl="1">
      <w:start w:val="1"/>
      <w:numFmt w:val="decimal"/>
      <w:pStyle w:val="2"/>
      <w:lvlText w:val="%1.%2."/>
      <w:lvlJc w:val="left"/>
      <w:pPr>
        <w:ind w:left="5115" w:hanging="720"/>
      </w:pPr>
    </w:lvl>
    <w:lvl w:ilvl="2">
      <w:start w:val="1"/>
      <w:numFmt w:val="decimal"/>
      <w:pStyle w:val="3"/>
      <w:lvlText w:val="%1.%2.%3."/>
      <w:lvlJc w:val="left"/>
      <w:pPr>
        <w:ind w:left="2138" w:hanging="720"/>
      </w:pPr>
    </w:lvl>
    <w:lvl w:ilvl="3">
      <w:start w:val="1"/>
      <w:numFmt w:val="decimal"/>
      <w:pStyle w:val="4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2296A04"/>
    <w:multiLevelType w:val="multilevel"/>
    <w:tmpl w:val="B7F4B538"/>
    <w:lvl w:ilvl="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1868DC"/>
    <w:multiLevelType w:val="multilevel"/>
    <w:tmpl w:val="3BD82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A7C1844"/>
    <w:multiLevelType w:val="multilevel"/>
    <w:tmpl w:val="23EC9EF4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8855BE"/>
    <w:multiLevelType w:val="multilevel"/>
    <w:tmpl w:val="3BD82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 w16cid:durableId="1038119637">
    <w:abstractNumId w:val="0"/>
  </w:num>
  <w:num w:numId="2" w16cid:durableId="1156453927">
    <w:abstractNumId w:val="1"/>
  </w:num>
  <w:num w:numId="3" w16cid:durableId="1602908283">
    <w:abstractNumId w:val="3"/>
  </w:num>
  <w:num w:numId="4" w16cid:durableId="843319669">
    <w:abstractNumId w:val="2"/>
  </w:num>
  <w:num w:numId="5" w16cid:durableId="521625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F2"/>
    <w:rsid w:val="000318C6"/>
    <w:rsid w:val="000674F2"/>
    <w:rsid w:val="0008612D"/>
    <w:rsid w:val="000A1BBD"/>
    <w:rsid w:val="000F66BC"/>
    <w:rsid w:val="001E41E9"/>
    <w:rsid w:val="002D01D4"/>
    <w:rsid w:val="00330BD0"/>
    <w:rsid w:val="003519A6"/>
    <w:rsid w:val="004377B4"/>
    <w:rsid w:val="004826F3"/>
    <w:rsid w:val="004D6D29"/>
    <w:rsid w:val="005407BC"/>
    <w:rsid w:val="00542C77"/>
    <w:rsid w:val="0056138E"/>
    <w:rsid w:val="00574E8D"/>
    <w:rsid w:val="005813F2"/>
    <w:rsid w:val="00590EDB"/>
    <w:rsid w:val="005B7997"/>
    <w:rsid w:val="00602E33"/>
    <w:rsid w:val="006125CC"/>
    <w:rsid w:val="006E79D9"/>
    <w:rsid w:val="00750DE0"/>
    <w:rsid w:val="007A4894"/>
    <w:rsid w:val="007E0865"/>
    <w:rsid w:val="007F71CB"/>
    <w:rsid w:val="008269F6"/>
    <w:rsid w:val="00837FBA"/>
    <w:rsid w:val="00885DAD"/>
    <w:rsid w:val="008C55D4"/>
    <w:rsid w:val="008E7147"/>
    <w:rsid w:val="00913FEF"/>
    <w:rsid w:val="00966050"/>
    <w:rsid w:val="009B42D3"/>
    <w:rsid w:val="00A00121"/>
    <w:rsid w:val="00A4139F"/>
    <w:rsid w:val="00A440DA"/>
    <w:rsid w:val="00A877ED"/>
    <w:rsid w:val="00A939AC"/>
    <w:rsid w:val="00BE28C9"/>
    <w:rsid w:val="00C67DC3"/>
    <w:rsid w:val="00C97040"/>
    <w:rsid w:val="00D50304"/>
    <w:rsid w:val="00DC12FF"/>
    <w:rsid w:val="00E00228"/>
    <w:rsid w:val="00E4222F"/>
    <w:rsid w:val="00E735C7"/>
    <w:rsid w:val="00F054B6"/>
    <w:rsid w:val="00F8159C"/>
    <w:rsid w:val="00F9067B"/>
    <w:rsid w:val="00FA55DC"/>
    <w:rsid w:val="00FC4B95"/>
    <w:rsid w:val="00FD227C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4B5A"/>
  <w15:docId w15:val="{F738C13E-2B00-4813-9893-E313B64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uk-UA" w:eastAsia="ru-RU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BC"/>
    <w:rPr>
      <w:lang w:val="it-IT"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1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0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312" w:lineRule="auto"/>
      <w:jc w:val="both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spacing w:before="240" w:after="60"/>
    </w:pPr>
    <w:rPr>
      <w:b/>
      <w:bCs/>
      <w:kern w:val="2"/>
      <w:sz w:val="32"/>
      <w:szCs w:val="32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i/>
      <w:iCs/>
      <w:sz w:val="28"/>
      <w:szCs w:val="28"/>
      <w:lang w:val="it-IT" w:eastAsia="ar-SA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  <w:lang w:val="it-IT" w:eastAsia="ar-SA"/>
    </w:rPr>
  </w:style>
  <w:style w:type="character" w:customStyle="1" w:styleId="Heading4Char">
    <w:name w:val="Heading 4 Char"/>
    <w:qFormat/>
    <w:rPr>
      <w:rFonts w:ascii="Calibri" w:eastAsia="Times New Roman" w:hAnsi="Calibri" w:cs="Times New Roman"/>
      <w:b/>
      <w:bCs/>
      <w:sz w:val="28"/>
      <w:szCs w:val="28"/>
      <w:lang w:val="it-IT" w:eastAsia="ar-SA"/>
    </w:rPr>
  </w:style>
  <w:style w:type="character" w:customStyle="1" w:styleId="Absatz-Standardschriftart">
    <w:name w:val="Absatz-Standardschriftart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styleId="a5">
    <w:name w:val="FollowedHyperlink"/>
    <w:rPr>
      <w:rFonts w:ascii="Arial" w:hAnsi="Arial" w:cs="Arial"/>
      <w:color w:val="800080"/>
      <w:sz w:val="20"/>
      <w:szCs w:val="20"/>
      <w:u w:val="single"/>
    </w:rPr>
  </w:style>
  <w:style w:type="character" w:styleId="a6">
    <w:name w:val="page number"/>
    <w:qFormat/>
    <w:rPr>
      <w:rFonts w:ascii="Arial" w:hAnsi="Arial" w:cs="Arial"/>
      <w:sz w:val="16"/>
      <w:szCs w:val="16"/>
    </w:rPr>
  </w:style>
  <w:style w:type="character" w:styleId="a7">
    <w:name w:val="line number"/>
    <w:qFormat/>
    <w:rPr>
      <w:rFonts w:ascii="Arial" w:hAnsi="Arial" w:cs="Arial"/>
      <w:sz w:val="16"/>
      <w:szCs w:val="16"/>
    </w:rPr>
  </w:style>
  <w:style w:type="character" w:styleId="a8">
    <w:name w:val="Hyperlink"/>
    <w:rPr>
      <w:rFonts w:ascii="Arial" w:hAnsi="Arial" w:cs="Arial"/>
      <w:color w:val="auto"/>
      <w:u w:val="none"/>
    </w:rPr>
  </w:style>
  <w:style w:type="character" w:customStyle="1" w:styleId="rvts8">
    <w:name w:val="rvts8"/>
    <w:qFormat/>
    <w:rPr>
      <w:rFonts w:cs="Times New Roman"/>
    </w:rPr>
  </w:style>
  <w:style w:type="character" w:customStyle="1" w:styleId="BodyTextChar">
    <w:name w:val="Body Text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HeaderChar">
    <w:name w:val="Header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FooterChar">
    <w:name w:val="Footer Char"/>
    <w:qFormat/>
    <w:rPr>
      <w:rFonts w:ascii="Arial" w:hAnsi="Arial" w:cs="Arial"/>
      <w:sz w:val="24"/>
      <w:szCs w:val="24"/>
      <w:lang w:val="it-IT" w:eastAsia="ar-SA" w:bidi="ar-SA"/>
    </w:rPr>
  </w:style>
  <w:style w:type="character" w:customStyle="1" w:styleId="BalloonTextChar">
    <w:name w:val="Balloon Text Char"/>
    <w:qFormat/>
    <w:rPr>
      <w:sz w:val="2"/>
      <w:szCs w:val="2"/>
      <w:lang w:val="it-IT" w:eastAsia="ar-SA"/>
    </w:rPr>
  </w:style>
  <w:style w:type="character" w:customStyle="1" w:styleId="MessageHeaderChar">
    <w:name w:val="Message Header Char"/>
    <w:qFormat/>
    <w:rPr>
      <w:rFonts w:ascii="Cambria" w:eastAsia="Times New Roman" w:hAnsi="Cambria" w:cs="Times New Roman"/>
      <w:sz w:val="24"/>
      <w:szCs w:val="24"/>
      <w:shd w:val="clear" w:color="auto" w:fill="CCCCCC"/>
      <w:lang w:val="it-IT" w:eastAsia="ar-SA"/>
    </w:rPr>
  </w:style>
  <w:style w:type="character" w:customStyle="1" w:styleId="BodyText2Char">
    <w:name w:val="Body Text 2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BodyText3Char">
    <w:name w:val="Body Text 3 Char"/>
    <w:qFormat/>
    <w:rPr>
      <w:rFonts w:ascii="Arial" w:hAnsi="Arial" w:cs="Arial"/>
      <w:sz w:val="16"/>
      <w:szCs w:val="16"/>
      <w:lang w:val="it-IT" w:eastAsia="ar-SA"/>
    </w:rPr>
  </w:style>
  <w:style w:type="character" w:customStyle="1" w:styleId="TitleChar">
    <w:name w:val="Title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SubtitleChar">
    <w:name w:val="Subtitle Char"/>
    <w:qFormat/>
    <w:rPr>
      <w:rFonts w:ascii="Cambria" w:eastAsia="Times New Roman" w:hAnsi="Cambria" w:cs="Times New Roman"/>
      <w:sz w:val="24"/>
      <w:szCs w:val="24"/>
      <w:lang w:val="it-IT" w:eastAsia="ar-SA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Arial Unicode MS"/>
      <w:sz w:val="28"/>
      <w:szCs w:val="28"/>
    </w:rPr>
  </w:style>
  <w:style w:type="paragraph" w:styleId="a9">
    <w:name w:val="Body Text"/>
    <w:basedOn w:val="a"/>
    <w:pPr>
      <w:jc w:val="both"/>
    </w:pPr>
    <w:rPr>
      <w:spacing w:val="-5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d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e">
    <w:name w:val="footer"/>
    <w:basedOn w:val="a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Message Header"/>
    <w:basedOn w:val="a9"/>
    <w:qFormat/>
    <w:pPr>
      <w:keepLines/>
      <w:tabs>
        <w:tab w:val="left" w:pos="2160"/>
        <w:tab w:val="left" w:pos="5760"/>
        <w:tab w:val="left" w:pos="6480"/>
        <w:tab w:val="right" w:pos="10080"/>
      </w:tabs>
      <w:spacing w:after="40" w:line="440" w:lineRule="atLeast"/>
      <w:ind w:left="720" w:hanging="720"/>
      <w:jc w:val="left"/>
    </w:pPr>
  </w:style>
  <w:style w:type="paragraph" w:styleId="20">
    <w:name w:val="Body Text 2"/>
    <w:basedOn w:val="a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123" w:lineRule="exact"/>
      <w:jc w:val="both"/>
    </w:pPr>
    <w:rPr>
      <w:sz w:val="11"/>
      <w:szCs w:val="11"/>
    </w:rPr>
  </w:style>
  <w:style w:type="paragraph" w:styleId="30">
    <w:name w:val="Body Text 3"/>
    <w:basedOn w:val="a"/>
    <w:qFormat/>
    <w:pPr>
      <w:jc w:val="both"/>
    </w:pPr>
    <w:rPr>
      <w:sz w:val="8"/>
      <w:szCs w:val="8"/>
    </w:rPr>
  </w:style>
  <w:style w:type="paragraph" w:styleId="a4">
    <w:name w:val="Subtitle"/>
    <w:basedOn w:val="a"/>
    <w:next w:val="a"/>
    <w:pPr>
      <w:keepNext/>
      <w:spacing w:before="240" w:after="120"/>
      <w:jc w:val="center"/>
    </w:pPr>
    <w:rPr>
      <w:i/>
      <w:sz w:val="28"/>
      <w:szCs w:val="28"/>
    </w:rPr>
  </w:style>
  <w:style w:type="paragraph" w:styleId="af1">
    <w:name w:val="Normal (Web)"/>
    <w:basedOn w:val="a"/>
    <w:qFormat/>
    <w:pPr>
      <w:spacing w:before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FrameContents">
    <w:name w:val="Frame Contents"/>
    <w:basedOn w:val="a9"/>
    <w:qFormat/>
  </w:style>
  <w:style w:type="paragraph" w:customStyle="1" w:styleId="Ghid1">
    <w:name w:val="Ghid 1"/>
    <w:basedOn w:val="a"/>
    <w:qFormat/>
    <w:pPr>
      <w:spacing w:before="120" w:after="0" w:line="288" w:lineRule="auto"/>
    </w:pPr>
    <w:rPr>
      <w:rFonts w:ascii="Verdana" w:hAnsi="Verdana" w:cs="Verdana"/>
      <w:b/>
      <w:bCs/>
      <w:sz w:val="28"/>
      <w:szCs w:val="28"/>
      <w:lang w:val="ro-RO" w:eastAsia="en-US"/>
    </w:rPr>
  </w:style>
  <w:style w:type="paragraph" w:styleId="af2">
    <w:name w:val="List Paragraph"/>
    <w:basedOn w:val="a"/>
    <w:uiPriority w:val="99"/>
    <w:qFormat/>
    <w:pPr>
      <w:ind w:left="720"/>
    </w:pPr>
  </w:style>
  <w:style w:type="paragraph" w:styleId="af3">
    <w:name w:val="Revision"/>
    <w:qFormat/>
    <w:rPr>
      <w:lang w:val="it-IT" w:eastAsia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7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d">
    <w:name w:val="Верхній колонтитул Знак"/>
    <w:basedOn w:val="a0"/>
    <w:link w:val="ac"/>
    <w:rsid w:val="006E79D9"/>
    <w:rPr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J9f5gcbz57JFPjADnwjRmQWWA==">AMUW2mX3ySeIuxSnsWvF9vTJxxK+LpzEJLv6hQP79Z3FMdQeBnaOOynVIrKN4KQT64p3nAZXZz5EJGaWFaQfwze7FWx9VTN+lzOULSGbcjg6djJg1MqD6byEirbtY4guZGeVyQY0xd2O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5203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ica.rancea</dc:creator>
  <cp:lastModifiedBy>Андрій Васильович Верстяк</cp:lastModifiedBy>
  <cp:revision>44</cp:revision>
  <cp:lastPrinted>2022-12-05T12:17:00Z</cp:lastPrinted>
  <dcterms:created xsi:type="dcterms:W3CDTF">2022-11-13T20:50:00Z</dcterms:created>
  <dcterms:modified xsi:type="dcterms:W3CDTF">2026-06-15T07:48:00Z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13b0a580760b302cec37d5d32c0e5e6ae3b016ac0b01c3ffecd8be83fbbe25d2</vt:lpwstr>
  </property>
  <property fmtid="{D5CDD505-2E9C-101B-9397-08002B2CF9AE}" pid="3" name="TitusGUID">
    <vt:lpwstr>86b021d8-27cf-48a1-b18d-d9799e89f454</vt:lpwstr>
  </property>
  <property fmtid="{D5CDD505-2E9C-101B-9397-08002B2CF9AE}" pid="4" name="UniCreditClassification">
    <vt:lpwstr>Confidential</vt:lpwstr>
  </property>
  <property fmtid="{D5CDD505-2E9C-101B-9397-08002B2CF9AE}" pid="5" name="UniCreditCompany">
    <vt:lpwstr>UniCredit Tiriac Bank</vt:lpwstr>
  </property>
</Properties>
</file>