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-763904</wp:posOffset>
            </wp:positionH>
            <wp:positionV relativeFrom="paragraph">
              <wp:posOffset>-190499</wp:posOffset>
            </wp:positionV>
            <wp:extent cx="1114425" cy="110371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40"/>
          <w:szCs w:val="40"/>
        </w:rPr>
      </w:pP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ЕКОНОМІКО-МАТЕМАТИЧНІ МЕТОДИ ТА МОДЕЛІ</w:t>
      </w: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(4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3"/>
        <w:gridCol w:w="6220"/>
        <w:tblGridChange w:id="0">
          <w:tblGrid>
            <w:gridCol w:w="3813"/>
            <w:gridCol w:w="6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 Управління та адміністрування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Григорків Василь Степанович, професор, завідувач кафедри економіко-математичного моделювання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https://emm.chnu.edu.ua/pro-kafedru/kolektyv-kafedry/hryhorkiv-vasyl-stepanovych/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Григорків Марія Василівна, професор, професор кафедри економіко-математичного моделювання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https://emm.chnu.edu.ua/pro-kafedru/kolektyv-kafedry/hryhorkiv-mariia-vasylivna/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Григорків В.С. (+380505281600)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Григорків М.В. (+380506418085)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v.hryhorkiv@chnu.edu.ua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m.hryhorkiv@chnu.edu.ua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https://moodle.chnu.edu.ua/course/view.php?id=5124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понеділок, 13:00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вівторок, 13:00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22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Дисципліна «Економіко-математичні методи та моделі» призначена для формування фундаментальних теоретичних знань і практичних навиків з побудови оптимізаційних і економетричних економіко-математичних моделей і методів їх розв’язування з метою ухвалення оптимальних рішень у будь-якій сфері професійної діяльності, пов’язаної з фінансами, банківською справою чи страхуванням. Роль дисципліни полягає саме у тому, що вона забезпечує сучасного економіста довільного профілю базовими прикладними інструментами для його професійної діяльності.</w:t>
      </w:r>
    </w:p>
    <w:p w:rsidR="00000000" w:rsidDel="00000000" w:rsidP="00000000" w:rsidRDefault="00000000" w:rsidRPr="00000000" w14:paraId="00000023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 навчальної дисципліни: формування базового теоретичного та прикладного інструментарію для побудови, аналізу та знаходження розв’язків оптимізаційних і економетричних моделей, які описують процеси фінансової, банківської та страхової діяльності і спрямовані на підготовку відповідних оптимальних управлінських рішень.</w:t>
      </w:r>
    </w:p>
    <w:p w:rsidR="00000000" w:rsidDel="00000000" w:rsidP="00000000" w:rsidRDefault="00000000" w:rsidRPr="00000000" w14:paraId="00000024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Навчальні дисципліни, обов'язкові для вивчення здобувачем вищої освіти до початку роботи над курсом «Економіко-математичні методи та моделі» такі: «Вища математика», «Інформаційно-комунікаційні технології», «Статистика».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1219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tbl>
      <w:tblPr>
        <w:tblStyle w:val="Table2"/>
        <w:tblW w:w="101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899"/>
        <w:tblGridChange w:id="0">
          <w:tblGrid>
            <w:gridCol w:w="1242"/>
            <w:gridCol w:w="8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Оптимізаційні економіко-математичні моделі та методи: основні поняття, класифікація, приклади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Методи та моделі безумовної оптимізації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 класи моделей та методів умовної оптимізації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Концептуальні основи економетричних моделей як інструментарію для формалізації кореляційно-регресійних зв’язків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Побудова та дослідження лінійних моделей парної регресії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Побудова та дослідження лінійних моделей множинної регресії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uc0g5bs3zo9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ФОРМИ, МЕТОДИ ТА ОСВІТНІ ТЕХНОЛОГІЇ НАВЧАННЯ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традиційні та інтерактивні форми і методи навчання, серед яких: лекція-візуалізація, лабораторні заняття тощо.</w:t>
      </w:r>
    </w:p>
    <w:p w:rsidR="00000000" w:rsidDel="00000000" w:rsidP="00000000" w:rsidRDefault="00000000" w:rsidRPr="00000000" w14:paraId="00000036">
      <w:pPr>
        <w:rPr>
          <w:b w:val="1"/>
          <w:bCs w:val="1"/>
          <w:color w:val="63242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опитування, лабораторні завдання та презентації результатів виконаних завдань тощо.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залік.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та засоби оцінювання результатів навчання з навчальної дисципліни детально висвітлені у робочій програмі навчальної дисципліни.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https://www.chnu.edu.ua/media/jxdbs0zb/etychnyi-kodeks-chernivetskoho-natsionalnoho-universytetu.pdf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https://www.chnu.edu.ua/universytet/normatyvni-dokumenty/polozhennia-pro-vyiavlennia-ta-zapobihannia-akademichnomu-plahiatu-u-chernivetskomu-natsionalnomu-universyteti-imeni-yuriia-fedkovycha/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Наукова бібліотека Чернівецького національного університету імені Юрія Федьковича /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www.library.chnu.edu.ua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Національна бібліотека України ім. В.І. Вернадського /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www.nbuv.gov.ua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Державна служба статистики України /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банк України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https://bank.gov.ua/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Дані світового банку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http://data.worldbank.org/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Дані Євростату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https://ec.europa.eu/eurostat/home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«Економіко-математичні методи та моделі»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навчальної дисципліни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b w:val="1"/>
          <w:bCs w:val="1"/>
          <w:i w:val="1"/>
          <w:iCs w:val="1"/>
          <w:color w:val="632423"/>
          <w:sz w:val="28"/>
          <w:szCs w:val="28"/>
        </w:rPr>
      </w:pPr>
      <w:hyperlink r:id="rId21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b w:val="1"/>
          <w:bCs w:val="1"/>
          <w:i w:val="1"/>
          <w:iCs w:val="1"/>
          <w:color w:val="632423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1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042370"/>
    <w:rPr>
      <w:i w:val="1"/>
      <w:iCs w:val="1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3333E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uk-UA"/>
    </w:rPr>
  </w:style>
  <w:style w:type="character" w:styleId="go" w:customStyle="1">
    <w:name w:val="go"/>
    <w:basedOn w:val="a0"/>
    <w:rsid w:val="00D3333E"/>
  </w:style>
  <w:style w:type="character" w:styleId="qu" w:customStyle="1">
    <w:name w:val="qu"/>
    <w:basedOn w:val="a0"/>
    <w:rsid w:val="00F574FE"/>
  </w:style>
  <w:style w:type="character" w:styleId="gd" w:customStyle="1">
    <w:name w:val="gd"/>
    <w:basedOn w:val="a0"/>
    <w:rsid w:val="00F574FE"/>
  </w:style>
  <w:style w:type="paragraph" w:styleId="31">
    <w:name w:val="Body Text Indent 3"/>
    <w:basedOn w:val="a"/>
    <w:link w:val="32"/>
    <w:unhideWhenUsed w:val="1"/>
    <w:rsid w:val="00EA6D32"/>
    <w:pPr>
      <w:widowControl w:val="1"/>
      <w:autoSpaceDE w:val="1"/>
      <w:autoSpaceDN w:val="1"/>
      <w:spacing w:after="120" w:line="276" w:lineRule="auto"/>
      <w:ind w:left="283"/>
    </w:pPr>
    <w:rPr>
      <w:rFonts w:asciiTheme="minorHAnsi" w:cstheme="minorBidi" w:eastAsiaTheme="minorHAnsi" w:hAnsiTheme="minorHAnsi"/>
      <w:sz w:val="16"/>
      <w:szCs w:val="16"/>
    </w:rPr>
  </w:style>
  <w:style w:type="character" w:styleId="32" w:customStyle="1">
    <w:name w:val="Основний текст з відступом 3 Знак"/>
    <w:basedOn w:val="a0"/>
    <w:link w:val="31"/>
    <w:uiPriority w:val="99"/>
    <w:rsid w:val="00EA6D32"/>
    <w:rPr>
      <w:sz w:val="16"/>
      <w:szCs w:val="16"/>
      <w:lang w:val="uk-UA"/>
    </w:rPr>
  </w:style>
  <w:style w:type="character" w:styleId="ac">
    <w:name w:val="Unresolved Mention"/>
    <w:basedOn w:val="a0"/>
    <w:uiPriority w:val="99"/>
    <w:semiHidden w:val="1"/>
    <w:unhideWhenUsed w:val="1"/>
    <w:rsid w:val="001265A2"/>
    <w:rPr>
      <w:color w:val="605e5c"/>
      <w:shd w:color="auto" w:fill="e1dfdd" w:val="clear"/>
    </w:rPr>
  </w:style>
  <w:style w:type="character" w:styleId="ad" w:customStyle="1">
    <w:name w:val="Основной текст_"/>
    <w:link w:val="12"/>
    <w:rsid w:val="002F66D7"/>
    <w:rPr>
      <w:szCs w:val="28"/>
      <w:shd w:color="auto" w:fill="ffffff" w:val="clear"/>
    </w:rPr>
  </w:style>
  <w:style w:type="paragraph" w:styleId="12" w:customStyle="1">
    <w:name w:val="Основной текст1"/>
    <w:basedOn w:val="a"/>
    <w:link w:val="ad"/>
    <w:rsid w:val="002F66D7"/>
    <w:pPr>
      <w:widowControl w:val="1"/>
      <w:shd w:color="auto" w:fill="ffffff" w:val="clear"/>
      <w:autoSpaceDE w:val="1"/>
      <w:autoSpaceDN w:val="1"/>
      <w:spacing w:line="317" w:lineRule="exact"/>
      <w:jc w:val="both"/>
    </w:pPr>
    <w:rPr>
      <w:rFonts w:asciiTheme="minorHAnsi" w:cstheme="minorBidi" w:eastAsiaTheme="minorHAnsi" w:hAnsiTheme="minorHAnsi"/>
      <w:szCs w:val="28"/>
      <w:lang w:val="en-US"/>
    </w:rPr>
  </w:style>
  <w:style w:type="character" w:styleId="HTML">
    <w:name w:val="HTML Cite"/>
    <w:rsid w:val="003572B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ec.europa.eu/eurostat/home" TargetMode="External"/><Relationship Id="rId11" Type="http://schemas.openxmlformats.org/officeDocument/2006/relationships/hyperlink" Target="mailto:m.hryhorkiv@chnu.edu.ua" TargetMode="External"/><Relationship Id="rId10" Type="http://schemas.openxmlformats.org/officeDocument/2006/relationships/hyperlink" Target="mailto:v.hryhorkiv@chnu.edu.ua" TargetMode="External"/><Relationship Id="rId21" Type="http://schemas.openxmlformats.org/officeDocument/2006/relationships/hyperlink" Target="https://finance.chnu.edu.ua/diialnist/osvitnia-diialnist/bakalavr/navchalni-dystsypliny/robochi-prohramy/" TargetMode="External"/><Relationship Id="rId13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s://moodle.chnu.edu.ua/course/view.php?id=512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mm.chnu.edu.ua/pro-kafedru/kolektyv-kafedry/hryhorkiv-mariia-vasylivna/" TargetMode="External"/><Relationship Id="rId15" Type="http://schemas.openxmlformats.org/officeDocument/2006/relationships/hyperlink" Target="http://www.library.chnu.edu.ua" TargetMode="External"/><Relationship Id="rId14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7" Type="http://schemas.openxmlformats.org/officeDocument/2006/relationships/hyperlink" Target="http://www.ukrstat.gov.ua/" TargetMode="External"/><Relationship Id="rId16" Type="http://schemas.openxmlformats.org/officeDocument/2006/relationships/hyperlink" Target="http://www.nbuv.gov.ua" TargetMode="External"/><Relationship Id="rId5" Type="http://schemas.openxmlformats.org/officeDocument/2006/relationships/styles" Target="styles.xml"/><Relationship Id="rId19" Type="http://schemas.openxmlformats.org/officeDocument/2006/relationships/hyperlink" Target="http://data.worldbank.org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bank.gov.ua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emm.chnu.edu.ua/pro-kafedru/kolektyv-kafedry/hryhorkiv-vasyl-stepanovyc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30T3csrTXOsgq7kUuwkQB1+fg==">CgMxLjAyDmgudWMwZzViczN6bzl2OAByITExbk1WSVNyRl9UXzFwVFZpemVieThUbTd6X2R6Vi1ndA==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2024-07-03T08:16:00Z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1e3213b4-43ec-4544-9f8c-f1979ff336f8</vt:lpwstr>
  </property>
</Properties>
</file>