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-763904</wp:posOffset>
            </wp:positionH>
            <wp:positionV relativeFrom="paragraph">
              <wp:posOffset>-190499</wp:posOffset>
            </wp:positionV>
            <wp:extent cx="1114425" cy="110371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Вища математика</w:t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(4.0 кредити)</w:t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9"/>
        <w:gridCol w:w="6238"/>
        <w:tblGridChange w:id="0">
          <w:tblGrid>
            <w:gridCol w:w="3569"/>
            <w:gridCol w:w="6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kmy6ft8nwn96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D2 «Фінанси, банківська справа, страхування та фондовий ринок»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  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74747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Бізнес, адміністрування та право»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Івасюк Галина Петрівна,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hanging="10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кандидат фізико-математичних наук,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hanging="10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доцент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https://mathmod.chnu.edu.ua/pro-nas/spivrobitnyky/ivasiuk-halyna-petrivna/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Фратавчан Тоня Михайлівна,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hanging="10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кандидат фізико-математичних наук,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hanging="10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доцент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https://mathmod.chnu.edu.ua/pro-nas/spivrobitnyky/fratavchan-tonia-mykhailivna/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+38037-258-48-25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t.fratavchan@chnu.edu.ua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https://moodle.chnu.edu.ua/course/view.php?id=2361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домовленістю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2">
      <w:pP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Мета навчальної дисципліни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sz w:val="24"/>
          <w:szCs w:val="24"/>
          <w:rtl w:val="0"/>
        </w:rPr>
        <w:t xml:space="preserve">вивчити основи знань з лінійної алгебри, диференціального та інтегрального числення функцій однієї та багатьох змінних; елементів теорії ймовірностей; вказати на численні застосування математики в сучасних економічних дослідженнях; навчити застосовувати знання і розуміння для ідентифікації, формулювання і вирішення технічних задач спеціальності, використовуючи відомі методи; навчити застосовувати знання і розуміння для розв’язування задач синтезу та аналізу, поєднувати теорію і практику; навчити оцінювати отримані результати та аргументовано захищати прийняті рішення.</w:t>
      </w:r>
    </w:p>
    <w:p w:rsidR="00000000" w:rsidDel="00000000" w:rsidP="00000000" w:rsidRDefault="00000000" w:rsidRPr="00000000" w14:paraId="00000023">
      <w:pPr>
        <w:widowControl w:val="1"/>
        <w:ind w:firstLine="709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Навчальна дисципліна «Вища математика» відповідно до структурно-логічної схеми освітньо-професійної програми слухається здобувачами освіти в першому семестрі першого року навчання паралельно із такими дисциплінами як «Інформатика</w:t>
      </w:r>
      <w:r w:rsidDel="00000000" w:rsidR="00000000" w:rsidRPr="00000000">
        <w:rPr>
          <w:sz w:val="24"/>
          <w:szCs w:val="24"/>
          <w:rtl w:val="0"/>
        </w:rPr>
        <w:t xml:space="preserve">», «Економічна теорія». Вивчення д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исципліни «Вища математика» є основою для засвоєння інших обов’язкових дисциплін, зокрема «</w:t>
      </w:r>
      <w:r w:rsidDel="00000000" w:rsidR="00000000" w:rsidRPr="00000000">
        <w:rPr>
          <w:sz w:val="24"/>
          <w:szCs w:val="24"/>
          <w:rtl w:val="0"/>
        </w:rPr>
        <w:t xml:space="preserve">Статистика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», «</w:t>
      </w:r>
      <w:r w:rsidDel="00000000" w:rsidR="00000000" w:rsidRPr="00000000">
        <w:rPr>
          <w:sz w:val="24"/>
          <w:szCs w:val="24"/>
          <w:rtl w:val="0"/>
        </w:rPr>
        <w:t xml:space="preserve">Теорія ймовірностей та математична статистика», «Економетрика». </w:t>
      </w:r>
    </w:p>
    <w:p w:rsidR="00000000" w:rsidDel="00000000" w:rsidP="00000000" w:rsidRDefault="00000000" w:rsidRPr="00000000" w14:paraId="00000024">
      <w:pPr>
        <w:widowControl w:val="1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успішного оволодіння курсу здобувач має вільно володіти знаннями з курсу шкільної математики.</w:t>
      </w:r>
    </w:p>
    <w:p w:rsidR="00000000" w:rsidDel="00000000" w:rsidP="00000000" w:rsidRDefault="00000000" w:rsidRPr="00000000" w14:paraId="0000002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7967"/>
        <w:tblGridChange w:id="0">
          <w:tblGrid>
            <w:gridCol w:w="1242"/>
            <w:gridCol w:w="796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МОДУЛЬ 1.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Елементи лінійної алгебри та математичного аналізу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Матриці та дії над ними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Визначники квадратних матриць та їх властивості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Системи лінійних рівнянь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Застосування матриць, визначників та систем лінійних рівнянь  для розв’язання економічних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Послідовність та її границя, властивості. Границя функції та її властивості, методи знаходження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Неперервність функції, властивості. Розриви функції, їх класифікація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Диференціальне числення функції однієї змінної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Еластичність функції. Застосування похідної функції в економіці та інших науках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Функції багатьох змінних. Диференціальне числення функції багатьох змінних.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Інтеграли та їх застосування. Елементи теорії ймовірностей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Невизначений інтеграл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Визначений інтеграл та його застосування. Невласні інтеграли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Елементи теорії ймовірностей. Випадкові величини, їх закони розподілу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Дискретні випадкові величини. Розподіли деяких відомих дискретних випадкових величин.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Числові характеристики випадкових величин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Граничні теореми теорії ймовірностей.Нерівності Чеби-шова й Маркова, закон великих чисел, центральна гранична теорема.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  <w:bCs w:val="1"/>
          <w:color w:val="63242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              ФОРМИ, МЕТОДИ ТА ОСВІТНІ ТЕХНОЛОГІЇ НАВЧАННЯ</w:t>
      </w:r>
    </w:p>
    <w:p w:rsidR="00000000" w:rsidDel="00000000" w:rsidP="00000000" w:rsidRDefault="00000000" w:rsidRPr="00000000" w14:paraId="0000004B">
      <w:pPr>
        <w:ind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Методи навчання та викладання: лекції, практичні заняття, електронне навчання з використанням системи Moodle, тестування, виконання завдань ІНДЗ.</w:t>
      </w:r>
    </w:p>
    <w:p w:rsidR="00000000" w:rsidDel="00000000" w:rsidP="00000000" w:rsidRDefault="00000000" w:rsidRPr="00000000" w14:paraId="0000004C">
      <w:pPr>
        <w:jc w:val="center"/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ФОРМИ Й МЕТОДИ КОНТРОЛЮ ТА ОЦІНЮВАННЯ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Види та форми контролю</w:t>
      </w:r>
      <w:r w:rsidDel="00000000" w:rsidR="00000000" w:rsidRPr="00000000">
        <w:rPr>
          <w:sz w:val="24"/>
          <w:szCs w:val="24"/>
          <w:rtl w:val="0"/>
        </w:rPr>
        <w:t xml:space="preserve"> 1. Поточний (усне опитування, розв’язування задач) </w:t>
      </w:r>
    </w:p>
    <w:p w:rsidR="00000000" w:rsidDel="00000000" w:rsidP="00000000" w:rsidRDefault="00000000" w:rsidRPr="00000000" w14:paraId="0000004E">
      <w:pPr>
        <w:ind w:firstLine="28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Модульний (контрольні роботи, тести).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Засоби оцінювання</w:t>
      </w:r>
      <w:r w:rsidDel="00000000" w:rsidR="00000000" w:rsidRPr="00000000">
        <w:rPr>
          <w:sz w:val="24"/>
          <w:szCs w:val="24"/>
          <w:rtl w:val="0"/>
        </w:rPr>
        <w:t xml:space="preserve">: контрольні роботи; тестування; аналітичні звіти про виконання індивідуальних завдань самостійної роботи.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Підсумковий  контроль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екзамен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оцінювання рівня навчальних досягнень ґрунтується на принципах ECTS та є накопичувальною. Впродовж семестру студенти виконують дві контрольні роботи та два тестування. Кожна контрольна робота оцінюється максимум 15 балами, кожне тестування оцінюється максимум 10 балами та по 5 балів – поточний контроль у першому та другому модулі. Підсумковим контролем з дисципліни є усний іспит ( 40 балів).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22" w:lineRule="auto"/>
        <w:ind w:left="241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ПОЛІТИКА АКАДЕМІЧНОЇ ДОБРОЧЕСНОСТІ</w:t>
      </w:r>
    </w:p>
    <w:p w:rsidR="00000000" w:rsidDel="00000000" w:rsidP="00000000" w:rsidRDefault="00000000" w:rsidRPr="00000000" w14:paraId="00000056">
      <w:pP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tabs>
          <w:tab w:val="left" w:leader="none" w:pos="499"/>
          <w:tab w:val="left" w:leader="none" w:pos="501"/>
        </w:tabs>
        <w:ind w:left="0" w:firstLine="709"/>
        <w:jc w:val="both"/>
        <w:rPr>
          <w:sz w:val="24"/>
          <w:szCs w:val="24"/>
        </w:rPr>
      </w:pPr>
      <w:bookmarkStart w:colFirst="0" w:colLast="0" w:name="_heading=h.3e4icmy255ha" w:id="1"/>
      <w:bookmarkEnd w:id="1"/>
      <w:r w:rsidDel="00000000" w:rsidR="00000000" w:rsidRPr="00000000">
        <w:rPr>
          <w:sz w:val="24"/>
          <w:szCs w:val="24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https://www.chnu.edu.ua/universytet/normatyvni-dokumenty/etychnyi-kodeks-chernivetskoho-natsionalnoho-universytetu-imeni-yuriia-fedkovycha/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tabs>
          <w:tab w:val="left" w:leader="none" w:pos="499"/>
          <w:tab w:val="left" w:leader="none" w:pos="501"/>
          <w:tab w:val="left" w:leader="none" w:pos="993"/>
          <w:tab w:val="left" w:leader="none" w:pos="3096"/>
          <w:tab w:val="left" w:leader="none" w:pos="3136"/>
          <w:tab w:val="left" w:leader="none" w:pos="4633"/>
          <w:tab w:val="left" w:leader="none" w:pos="5141"/>
          <w:tab w:val="left" w:leader="none" w:pos="5681"/>
          <w:tab w:val="left" w:leader="none" w:pos="6812"/>
          <w:tab w:val="left" w:leader="none" w:pos="8021"/>
          <w:tab w:val="left" w:leader="none" w:pos="8661"/>
          <w:tab w:val="left" w:leader="none" w:pos="9422"/>
          <w:tab w:val="left" w:leader="none" w:pos="9915"/>
        </w:tabs>
        <w:ind w:left="0" w:firstLine="709"/>
        <w:jc w:val="both"/>
        <w:rPr>
          <w:color w:val="0000ff"/>
          <w:sz w:val="24"/>
          <w:szCs w:val="24"/>
          <w:u w:val="single"/>
        </w:rPr>
      </w:pPr>
      <w:bookmarkStart w:colFirst="0" w:colLast="0" w:name="_heading=h.yyu039hezy7s" w:id="2"/>
      <w:bookmarkEnd w:id="2"/>
      <w:r w:rsidDel="00000000" w:rsidR="00000000" w:rsidRPr="00000000">
        <w:rPr>
          <w:sz w:val="24"/>
          <w:szCs w:val="24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університеті імені Юрія Федьковича» </w:t>
      </w:r>
      <w:hyperlink r:id="rId13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https://www.chnu.edu.ua/universytet/normatyvni-dokumenty/polozhennia-pro-vyiavlennia-ta-zapobihannia-akademichnomu-plahiatu-u-chernivetskomu-natsionalnomu-universyteti-imeni-yuriia-fedkovycha/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99"/>
          <w:tab w:val="left" w:leader="none" w:pos="501"/>
          <w:tab w:val="left" w:leader="none" w:pos="2445"/>
          <w:tab w:val="left" w:leader="none" w:pos="3096"/>
          <w:tab w:val="left" w:leader="none" w:pos="3136"/>
          <w:tab w:val="left" w:leader="none" w:pos="4633"/>
          <w:tab w:val="left" w:leader="none" w:pos="5141"/>
          <w:tab w:val="left" w:leader="none" w:pos="5681"/>
          <w:tab w:val="left" w:leader="none" w:pos="6812"/>
          <w:tab w:val="left" w:leader="none" w:pos="8021"/>
          <w:tab w:val="left" w:leader="none" w:pos="8661"/>
          <w:tab w:val="left" w:leader="none" w:pos="9422"/>
          <w:tab w:val="left" w:leader="none" w:pos="9915"/>
        </w:tabs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Освітня діяльність (викладача і студента) під час вивчення навчальної дисципліни ґрунтується на принципах співробітництва та академічної доброчесності. Очікується, що роботи студентів будуть оригінальним дослідженням чи міркуванням й об’єктивно оцінені викладачем.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517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lkb6i6cyj8v" w:id="3"/>
      <w:bookmarkEnd w:id="3"/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https://moodle.chnu.edu.ua/course/view.php?id=2361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розміщення курсу на платформі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https://moodle.chnu.edu.ua/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517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Вища математика. Лінійна та векторна алгебра, аналітична геометрія. Навчальний посібник / Укл.: Івасюк Г.П., Фратавчан Т.М., Готинчан Т.І., Шкільнюк Д.В. Чернівці: Чернівецький нац. ун-т, 2023. 176 с.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5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https://archer.chnu.edu.ua/xmlui/handle/123456789/6825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5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5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«Вища математика»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дисципліни, що розміщена на  сайті кафедри: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i w:val="1"/>
            <w:iCs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22" w:hanging="28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✔"/>
      <w:lvlJc w:val="left"/>
      <w:pPr>
        <w:ind w:left="501" w:hanging="361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8"/>
        <w:szCs w:val="28"/>
      </w:rPr>
    </w:lvl>
    <w:lvl w:ilvl="2">
      <w:start w:val="0"/>
      <w:numFmt w:val="bullet"/>
      <w:lvlText w:val="•"/>
      <w:lvlJc w:val="left"/>
      <w:pPr>
        <w:ind w:left="1594" w:hanging="361"/>
      </w:pPr>
      <w:rPr/>
    </w:lvl>
    <w:lvl w:ilvl="3">
      <w:start w:val="0"/>
      <w:numFmt w:val="bullet"/>
      <w:lvlText w:val="•"/>
      <w:lvlJc w:val="left"/>
      <w:pPr>
        <w:ind w:left="2688" w:hanging="361"/>
      </w:pPr>
      <w:rPr/>
    </w:lvl>
    <w:lvl w:ilvl="4">
      <w:start w:val="0"/>
      <w:numFmt w:val="bullet"/>
      <w:lvlText w:val="•"/>
      <w:lvlJc w:val="left"/>
      <w:pPr>
        <w:ind w:left="3782" w:hanging="361.00000000000045"/>
      </w:pPr>
      <w:rPr/>
    </w:lvl>
    <w:lvl w:ilvl="5">
      <w:start w:val="0"/>
      <w:numFmt w:val="bullet"/>
      <w:lvlText w:val="•"/>
      <w:lvlJc w:val="left"/>
      <w:pPr>
        <w:ind w:left="4877" w:hanging="361"/>
      </w:pPr>
      <w:rPr/>
    </w:lvl>
    <w:lvl w:ilvl="6">
      <w:start w:val="0"/>
      <w:numFmt w:val="bullet"/>
      <w:lvlText w:val="•"/>
      <w:lvlJc w:val="left"/>
      <w:pPr>
        <w:ind w:left="5971" w:hanging="361"/>
      </w:pPr>
      <w:rPr/>
    </w:lvl>
    <w:lvl w:ilvl="7">
      <w:start w:val="0"/>
      <w:numFmt w:val="bullet"/>
      <w:lvlText w:val="•"/>
      <w:lvlJc w:val="left"/>
      <w:pPr>
        <w:ind w:left="7065" w:hanging="361"/>
      </w:pPr>
      <w:rPr/>
    </w:lvl>
    <w:lvl w:ilvl="8">
      <w:start w:val="0"/>
      <w:numFmt w:val="bullet"/>
      <w:lvlText w:val="•"/>
      <w:lvlJc w:val="left"/>
      <w:pPr>
        <w:ind w:left="8159" w:hanging="36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1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2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042370"/>
    <w:rPr>
      <w:i w:val="1"/>
      <w:iCs w:val="1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3333E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uk-UA"/>
    </w:rPr>
  </w:style>
  <w:style w:type="character" w:styleId="go" w:customStyle="1">
    <w:name w:val="go"/>
    <w:basedOn w:val="a0"/>
    <w:rsid w:val="00D3333E"/>
  </w:style>
  <w:style w:type="character" w:styleId="qu" w:customStyle="1">
    <w:name w:val="qu"/>
    <w:basedOn w:val="a0"/>
    <w:rsid w:val="00F574FE"/>
  </w:style>
  <w:style w:type="character" w:styleId="gd" w:customStyle="1">
    <w:name w:val="gd"/>
    <w:basedOn w:val="a0"/>
    <w:rsid w:val="00F574FE"/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3E3096"/>
    <w:rPr>
      <w:color w:val="605e5c"/>
      <w:shd w:color="auto" w:fill="e1dfdd" w:val="clear"/>
    </w:rPr>
  </w:style>
  <w:style w:type="paragraph" w:styleId="ac">
    <w:name w:val="Body Text Indent"/>
    <w:basedOn w:val="a"/>
    <w:link w:val="ad"/>
    <w:uiPriority w:val="99"/>
    <w:semiHidden w:val="1"/>
    <w:unhideWhenUsed w:val="1"/>
    <w:rsid w:val="001020E5"/>
    <w:pPr>
      <w:spacing w:after="120"/>
      <w:ind w:left="283"/>
    </w:pPr>
  </w:style>
  <w:style w:type="character" w:styleId="ad" w:customStyle="1">
    <w:name w:val="Основной текст с отступом Знак"/>
    <w:basedOn w:val="a0"/>
    <w:link w:val="ac"/>
    <w:uiPriority w:val="99"/>
    <w:semiHidden w:val="1"/>
    <w:rsid w:val="001020E5"/>
    <w:rPr>
      <w:rFonts w:ascii="Times New Roman" w:cs="Times New Roman" w:eastAsia="Times New Roman" w:hAnsi="Times New Roman"/>
      <w:lang w:val="uk-UA"/>
    </w:rPr>
  </w:style>
  <w:style w:type="character" w:styleId="10" w:customStyle="1">
    <w:name w:val="Заголовок 1 Знак"/>
    <w:basedOn w:val="a0"/>
    <w:link w:val="1"/>
    <w:uiPriority w:val="9"/>
    <w:rsid w:val="008A2A95"/>
    <w:rPr>
      <w:rFonts w:ascii="Times New Roman" w:cs="Times New Roman" w:eastAsia="Times New Roman" w:hAnsi="Times New Roman"/>
      <w:b w:val="1"/>
      <w:bCs w:val="1"/>
      <w:sz w:val="24"/>
      <w:szCs w:val="24"/>
      <w:lang w:val="uk-UA"/>
    </w:rPr>
  </w:style>
  <w:style w:type="character" w:styleId="ae">
    <w:name w:val="Unresolved Mention"/>
    <w:basedOn w:val="a0"/>
    <w:uiPriority w:val="99"/>
    <w:semiHidden w:val="1"/>
    <w:unhideWhenUsed w:val="1"/>
    <w:rsid w:val="0000496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oodle.chnu.edu.ua/course/view.php?id=2361" TargetMode="External"/><Relationship Id="rId10" Type="http://schemas.openxmlformats.org/officeDocument/2006/relationships/hyperlink" Target="mailto:t.fratavchan@chnu.edu.ua" TargetMode="External"/><Relationship Id="rId13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2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thmod.chnu.edu.ua/pro-nas/spivrobitnyky/fratavchan-tonia-mykhailivna/" TargetMode="External"/><Relationship Id="rId15" Type="http://schemas.openxmlformats.org/officeDocument/2006/relationships/hyperlink" Target="https://moodle.chnu.edu.ua/" TargetMode="External"/><Relationship Id="rId14" Type="http://schemas.openxmlformats.org/officeDocument/2006/relationships/hyperlink" Target="https://moodle.chnu.edu.ua/course/view.php?id=2361" TargetMode="External"/><Relationship Id="rId17" Type="http://schemas.openxmlformats.org/officeDocument/2006/relationships/hyperlink" Target="https://finance.chnu.edu.ua/diialnist/osvitnia-diialnist/bakalavr/navchalni-dystsypliny/robochi-prohramy/" TargetMode="External"/><Relationship Id="rId16" Type="http://schemas.openxmlformats.org/officeDocument/2006/relationships/hyperlink" Target="https://archer.chnu.edu.ua/xmlui/handle/123456789/682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athmod.chnu.edu.ua/pro-nas/spivrobitnyky/ivasiuk-halyna-petrivn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sEt3mXcGJ0cxcu8n+v7zzmP/Q==">CgMxLjAyDmgua215NmZ0OG53bjk2Mg5oLjNlNGljbXkyNTVoYTIOaC55eXUwMzloZXp5N3MyDmguMWxrYjZpNmN5ajh2OAByITEyc3AyUHFjQ1ZWdmhkV2R5c3ZXYXprcV83dVZEVGkyNg==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2025-10-23T11:42:00Z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