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3"/>
        <w:gridCol w:w="7655"/>
      </w:tblGrid>
      <w:tr w:rsidR="00141C2F">
        <w:tc>
          <w:tcPr>
            <w:tcW w:w="1701" w:type="dxa"/>
            <w:vMerge w:val="restart"/>
            <w:vAlign w:val="center"/>
          </w:tcPr>
          <w:p w:rsidR="00141C2F" w:rsidRDefault="007555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noProof/>
                <w:color w:val="833C0B" w:themeColor="accent2" w:themeShade="80"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-19685</wp:posOffset>
                  </wp:positionV>
                  <wp:extent cx="1162050" cy="1016000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" w:type="dxa"/>
            <w:vAlign w:val="center"/>
          </w:tcPr>
          <w:p w:rsidR="00141C2F" w:rsidRDefault="00141C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141C2F" w:rsidRDefault="0075558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Силабус навчальної дисципліни</w:t>
            </w:r>
          </w:p>
        </w:tc>
      </w:tr>
      <w:tr w:rsidR="00141C2F">
        <w:tc>
          <w:tcPr>
            <w:tcW w:w="1701" w:type="dxa"/>
            <w:vMerge/>
            <w:vAlign w:val="center"/>
          </w:tcPr>
          <w:p w:rsidR="00141C2F" w:rsidRDefault="00141C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141C2F" w:rsidRDefault="00141C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141C2F" w:rsidRDefault="0075558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«МІЖНАРОДНІ СТАНДАРТИ фінансової звітності»</w:t>
            </w:r>
          </w:p>
        </w:tc>
      </w:tr>
      <w:tr w:rsidR="00141C2F">
        <w:trPr>
          <w:trHeight w:val="1037"/>
        </w:trPr>
        <w:tc>
          <w:tcPr>
            <w:tcW w:w="1701" w:type="dxa"/>
            <w:vMerge/>
            <w:vAlign w:val="center"/>
          </w:tcPr>
          <w:p w:rsidR="00141C2F" w:rsidRDefault="00141C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141C2F" w:rsidRDefault="00141C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141C2F" w:rsidRDefault="007555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Компонента освітньої програми – вибіркова (4 кредити)</w:t>
            </w:r>
          </w:p>
        </w:tc>
      </w:tr>
    </w:tbl>
    <w:p w:rsidR="00141C2F" w:rsidRDefault="00141C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77"/>
        <w:gridCol w:w="5378"/>
      </w:tblGrid>
      <w:tr w:rsidR="00141C2F" w:rsidTr="001F6E39">
        <w:tc>
          <w:tcPr>
            <w:tcW w:w="4477" w:type="dxa"/>
            <w:vAlign w:val="center"/>
          </w:tcPr>
          <w:p w:rsidR="00141C2F" w:rsidRDefault="007555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Освітньо-професійна програма </w:t>
            </w:r>
          </w:p>
        </w:tc>
        <w:tc>
          <w:tcPr>
            <w:tcW w:w="5378" w:type="dxa"/>
            <w:vAlign w:val="center"/>
          </w:tcPr>
          <w:p w:rsidR="00141C2F" w:rsidRDefault="007555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Облік і оподаткування </w:t>
            </w:r>
          </w:p>
        </w:tc>
      </w:tr>
      <w:tr w:rsidR="001F6E39" w:rsidTr="001F6E39">
        <w:tc>
          <w:tcPr>
            <w:tcW w:w="4477" w:type="dxa"/>
            <w:vAlign w:val="center"/>
          </w:tcPr>
          <w:p w:rsidR="001F6E39" w:rsidRDefault="001F6E39" w:rsidP="001F6E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</w:p>
        </w:tc>
        <w:tc>
          <w:tcPr>
            <w:tcW w:w="5378" w:type="dxa"/>
            <w:vAlign w:val="center"/>
          </w:tcPr>
          <w:p w:rsidR="001F6E39" w:rsidRDefault="001F6E39" w:rsidP="001F6E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«Об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лік і оподаткування»</w:t>
            </w:r>
          </w:p>
        </w:tc>
      </w:tr>
      <w:tr w:rsidR="001F6E39" w:rsidTr="001F6E39">
        <w:tc>
          <w:tcPr>
            <w:tcW w:w="4477" w:type="dxa"/>
            <w:vAlign w:val="center"/>
          </w:tcPr>
          <w:p w:rsidR="001F6E39" w:rsidRDefault="001F6E39" w:rsidP="001F6E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Галузь знань </w:t>
            </w:r>
          </w:p>
        </w:tc>
        <w:tc>
          <w:tcPr>
            <w:tcW w:w="5378" w:type="dxa"/>
            <w:vAlign w:val="center"/>
          </w:tcPr>
          <w:p w:rsidR="001F6E39" w:rsidRDefault="001F6E39" w:rsidP="001F6E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«Управління та адміністрування»</w:t>
            </w:r>
          </w:p>
        </w:tc>
      </w:tr>
      <w:tr w:rsidR="00141C2F" w:rsidTr="001F6E39">
        <w:tc>
          <w:tcPr>
            <w:tcW w:w="4477" w:type="dxa"/>
            <w:vAlign w:val="center"/>
          </w:tcPr>
          <w:p w:rsidR="00141C2F" w:rsidRDefault="007555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Рівень вищої освіти </w:t>
            </w:r>
          </w:p>
        </w:tc>
        <w:tc>
          <w:tcPr>
            <w:tcW w:w="5378" w:type="dxa"/>
            <w:vAlign w:val="center"/>
          </w:tcPr>
          <w:p w:rsidR="00141C2F" w:rsidRDefault="007555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перший (бакалаврський)</w:t>
            </w:r>
          </w:p>
        </w:tc>
      </w:tr>
      <w:tr w:rsidR="00141C2F" w:rsidTr="001F6E39">
        <w:tc>
          <w:tcPr>
            <w:tcW w:w="4477" w:type="dxa"/>
            <w:vAlign w:val="center"/>
          </w:tcPr>
          <w:p w:rsidR="00141C2F" w:rsidRDefault="007555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навчання </w:t>
            </w:r>
          </w:p>
        </w:tc>
        <w:tc>
          <w:tcPr>
            <w:tcW w:w="5378" w:type="dxa"/>
            <w:vAlign w:val="center"/>
          </w:tcPr>
          <w:p w:rsidR="00141C2F" w:rsidRDefault="007555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141C2F" w:rsidTr="001F6E39">
        <w:tc>
          <w:tcPr>
            <w:tcW w:w="4477" w:type="dxa"/>
            <w:vAlign w:val="center"/>
          </w:tcPr>
          <w:p w:rsidR="00141C2F" w:rsidRDefault="007555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Профайл викладача </w:t>
            </w:r>
          </w:p>
        </w:tc>
        <w:tc>
          <w:tcPr>
            <w:tcW w:w="5378" w:type="dxa"/>
            <w:vAlign w:val="center"/>
          </w:tcPr>
          <w:p w:rsidR="00141C2F" w:rsidRDefault="007555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Танасієва Марина Миколаївна – кандидат економічний наук, доцент, асистент кафедри обліку, аналізу і аудиту </w:t>
            </w:r>
          </w:p>
          <w:p w:rsidR="00141C2F" w:rsidRDefault="007555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https://accounting.chnu.edu.ua/pro-nas/kolektyv/tanasiieva-maryna-mykolaivna/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1C2F" w:rsidTr="001F6E39">
        <w:tc>
          <w:tcPr>
            <w:tcW w:w="4477" w:type="dxa"/>
            <w:vAlign w:val="center"/>
          </w:tcPr>
          <w:p w:rsidR="00141C2F" w:rsidRDefault="007555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Контактний телефон</w:t>
            </w:r>
          </w:p>
        </w:tc>
        <w:tc>
          <w:tcPr>
            <w:tcW w:w="5378" w:type="dxa"/>
            <w:vAlign w:val="center"/>
          </w:tcPr>
          <w:p w:rsidR="00141C2F" w:rsidRDefault="007555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+38(050)9669932</w:t>
            </w:r>
          </w:p>
        </w:tc>
      </w:tr>
      <w:tr w:rsidR="00141C2F" w:rsidTr="001F6E39">
        <w:tc>
          <w:tcPr>
            <w:tcW w:w="4477" w:type="dxa"/>
            <w:vAlign w:val="center"/>
          </w:tcPr>
          <w:p w:rsidR="00141C2F" w:rsidRDefault="007555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 </w:t>
            </w:r>
          </w:p>
        </w:tc>
        <w:tc>
          <w:tcPr>
            <w:tcW w:w="5378" w:type="dxa"/>
            <w:vAlign w:val="center"/>
          </w:tcPr>
          <w:p w:rsidR="00141C2F" w:rsidRDefault="007555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m.tanasiyeva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chnu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ua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141C2F" w:rsidTr="001F6E39">
        <w:tc>
          <w:tcPr>
            <w:tcW w:w="4477" w:type="dxa"/>
            <w:vAlign w:val="center"/>
          </w:tcPr>
          <w:p w:rsidR="00141C2F" w:rsidRDefault="007555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Сторінка курсу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Moodle</w:t>
            </w:r>
          </w:p>
        </w:tc>
        <w:tc>
          <w:tcPr>
            <w:tcW w:w="5378" w:type="dxa"/>
            <w:vAlign w:val="center"/>
          </w:tcPr>
          <w:p w:rsidR="00141C2F" w:rsidRDefault="007555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https://moodle.chnu.edu.ua/course/view.php?id=2771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41C2F" w:rsidTr="001F6E39">
        <w:tc>
          <w:tcPr>
            <w:tcW w:w="4477" w:type="dxa"/>
            <w:vAlign w:val="center"/>
          </w:tcPr>
          <w:p w:rsidR="00141C2F" w:rsidRDefault="007555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Консультації</w:t>
            </w:r>
          </w:p>
        </w:tc>
        <w:tc>
          <w:tcPr>
            <w:tcW w:w="5378" w:type="dxa"/>
            <w:vAlign w:val="center"/>
          </w:tcPr>
          <w:p w:rsidR="00141C2F" w:rsidRDefault="007555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Згідно графіку</w:t>
            </w:r>
          </w:p>
        </w:tc>
      </w:tr>
    </w:tbl>
    <w:p w:rsidR="00141C2F" w:rsidRDefault="00141C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C2F" w:rsidRDefault="0075558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Анотація навчальної дисципліни</w:t>
      </w:r>
    </w:p>
    <w:p w:rsidR="00141C2F" w:rsidRDefault="0075558A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Євроінтеграційні процеси, що тривають в Україні надають можливості виходу вітчизняних компаній на світовий ринок. Застосування Міжнародних стандартів бухгалтерського обліку та фінансової звітності забезпечує зрозумілість, </w:t>
      </w:r>
      <w:r>
        <w:rPr>
          <w:rFonts w:ascii="Times New Roman" w:hAnsi="Times New Roman" w:cs="Times New Roman"/>
          <w:sz w:val="28"/>
          <w:szCs w:val="28"/>
        </w:rPr>
        <w:t>доступність та надійність інформаційної системи бухгалтерського обліку та фінансової звітності для інших суб’єктів міжнародного валютного ринку. Тому для усунення економічних та торговельних бар’єрів й активізації надходження іноземних інвестицій важливо б</w:t>
      </w:r>
      <w:r>
        <w:rPr>
          <w:rFonts w:ascii="Times New Roman" w:hAnsi="Times New Roman" w:cs="Times New Roman"/>
          <w:sz w:val="28"/>
          <w:szCs w:val="28"/>
        </w:rPr>
        <w:t>удувати систему обліку та складання фінансової звітності, як основного засобу ведення міжнародного бізнесу, на вимогах МСБО. Все це вимагає підготовки висококваліфікованих кадрів зі спеціальності облік і оподаткування, які б мали змогу забезпечити розробку</w:t>
      </w:r>
      <w:r>
        <w:rPr>
          <w:rFonts w:ascii="Times New Roman" w:hAnsi="Times New Roman" w:cs="Times New Roman"/>
          <w:sz w:val="28"/>
          <w:szCs w:val="28"/>
        </w:rPr>
        <w:t xml:space="preserve"> та (або) трансформацію системи обліку та звітності з національних до міжнародних стандартів. Цей факт зумовлює потребу ґрунтовних знань особливостей та сфери застосування МСБО (МСФЗ) та належної організації бухгалтерського обліку вітчизняних суб’єктів гос</w:t>
      </w:r>
      <w:r>
        <w:rPr>
          <w:rFonts w:ascii="Times New Roman" w:hAnsi="Times New Roman" w:cs="Times New Roman"/>
          <w:sz w:val="28"/>
          <w:szCs w:val="28"/>
        </w:rPr>
        <w:t>подарювання згідно їхніх вимог.</w:t>
      </w:r>
    </w:p>
    <w:p w:rsidR="00141C2F" w:rsidRDefault="0075558A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 навчальної дисципліни (МСФЗ):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засвоєння теоретичних основ міжнародних стандартів бухгалтерського обліку 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звітності,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вироблення практичних навичок ведення обліку і складання фінансової звітності відповідно до вимог Між</w:t>
      </w:r>
      <w:r>
        <w:rPr>
          <w:rFonts w:ascii="Times New Roman" w:hAnsi="Times New Roman" w:cs="Times New Roman"/>
          <w:sz w:val="28"/>
          <w:szCs w:val="28"/>
        </w:rPr>
        <w:t>народних стандартів фінансової звітності.</w:t>
      </w:r>
    </w:p>
    <w:p w:rsidR="00141C2F" w:rsidRDefault="00141C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1C2F" w:rsidRDefault="0075558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Навчальний контент освітньої компоненти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141C2F">
        <w:tc>
          <w:tcPr>
            <w:tcW w:w="9629" w:type="dxa"/>
            <w:gridSpan w:val="2"/>
            <w:vAlign w:val="center"/>
          </w:tcPr>
          <w:p w:rsidR="00141C2F" w:rsidRDefault="0075558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Модуль 1.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ОСНОВНІ ПРИНЦИПИ, СТРУКТУРА ТА ПОДАННЯ МСФЗ</w:t>
            </w:r>
          </w:p>
        </w:tc>
      </w:tr>
      <w:tr w:rsidR="00141C2F">
        <w:tc>
          <w:tcPr>
            <w:tcW w:w="1413" w:type="dxa"/>
            <w:vAlign w:val="center"/>
          </w:tcPr>
          <w:p w:rsidR="00141C2F" w:rsidRDefault="007555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</w:t>
            </w:r>
          </w:p>
        </w:tc>
        <w:tc>
          <w:tcPr>
            <w:tcW w:w="8216" w:type="dxa"/>
          </w:tcPr>
          <w:p w:rsidR="00141C2F" w:rsidRDefault="00755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Міжнародні стандарти бухгалтерського обліку, їх розробка та впровадження</w:t>
            </w:r>
          </w:p>
        </w:tc>
      </w:tr>
      <w:tr w:rsidR="00141C2F">
        <w:tc>
          <w:tcPr>
            <w:tcW w:w="1413" w:type="dxa"/>
            <w:vAlign w:val="center"/>
          </w:tcPr>
          <w:p w:rsidR="00141C2F" w:rsidRDefault="007555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</w:t>
            </w:r>
          </w:p>
        </w:tc>
        <w:tc>
          <w:tcPr>
            <w:tcW w:w="8216" w:type="dxa"/>
          </w:tcPr>
          <w:p w:rsidR="00141C2F" w:rsidRDefault="0075558A">
            <w:pPr>
              <w:pStyle w:val="Default"/>
              <w:jc w:val="both"/>
              <w:rPr>
                <w:lang w:val="uk-UA"/>
              </w:rPr>
            </w:pPr>
            <w:r>
              <w:rPr>
                <w:bCs/>
              </w:rPr>
              <w:t xml:space="preserve">Основні форми фінансової </w:t>
            </w:r>
            <w:r>
              <w:rPr>
                <w:bCs/>
              </w:rPr>
              <w:t>звітності</w:t>
            </w:r>
            <w:r>
              <w:rPr>
                <w:bCs/>
                <w:lang w:val="uk-UA"/>
              </w:rPr>
              <w:t xml:space="preserve"> за МСФЗ</w:t>
            </w:r>
          </w:p>
        </w:tc>
      </w:tr>
      <w:tr w:rsidR="00141C2F">
        <w:tc>
          <w:tcPr>
            <w:tcW w:w="1413" w:type="dxa"/>
            <w:vAlign w:val="center"/>
          </w:tcPr>
          <w:p w:rsidR="00141C2F" w:rsidRDefault="007555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</w:t>
            </w:r>
          </w:p>
        </w:tc>
        <w:tc>
          <w:tcPr>
            <w:tcW w:w="8216" w:type="dxa"/>
          </w:tcPr>
          <w:p w:rsidR="00141C2F" w:rsidRDefault="0075558A">
            <w:pPr>
              <w:pStyle w:val="Default"/>
              <w:jc w:val="both"/>
              <w:rPr>
                <w:lang w:val="uk-UA"/>
              </w:rPr>
            </w:pPr>
            <w:r>
              <w:rPr>
                <w:bCs/>
              </w:rPr>
              <w:t>Подання фінансової звітності</w:t>
            </w:r>
          </w:p>
        </w:tc>
      </w:tr>
      <w:tr w:rsidR="00141C2F">
        <w:tc>
          <w:tcPr>
            <w:tcW w:w="1413" w:type="dxa"/>
            <w:vAlign w:val="center"/>
          </w:tcPr>
          <w:p w:rsidR="00141C2F" w:rsidRDefault="007555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4</w:t>
            </w:r>
          </w:p>
        </w:tc>
        <w:tc>
          <w:tcPr>
            <w:tcW w:w="8216" w:type="dxa"/>
          </w:tcPr>
          <w:p w:rsidR="00141C2F" w:rsidRDefault="0075558A">
            <w:pPr>
              <w:pStyle w:val="Default"/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Облік довгострокових активів за МСФЗ</w:t>
            </w:r>
          </w:p>
        </w:tc>
      </w:tr>
      <w:tr w:rsidR="00141C2F">
        <w:tc>
          <w:tcPr>
            <w:tcW w:w="1413" w:type="dxa"/>
            <w:vAlign w:val="center"/>
          </w:tcPr>
          <w:p w:rsidR="00141C2F" w:rsidRDefault="007555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5</w:t>
            </w:r>
          </w:p>
        </w:tc>
        <w:tc>
          <w:tcPr>
            <w:tcW w:w="8216" w:type="dxa"/>
          </w:tcPr>
          <w:p w:rsidR="00141C2F" w:rsidRDefault="0075558A">
            <w:pPr>
              <w:pStyle w:val="Default"/>
              <w:jc w:val="both"/>
              <w:rPr>
                <w:b/>
                <w:bCs/>
                <w:lang w:val="uk-UA"/>
              </w:rPr>
            </w:pPr>
            <w:r>
              <w:rPr>
                <w:bCs/>
                <w:lang w:val="uk-UA"/>
              </w:rPr>
              <w:t>Облік поточних активів за МСФЗ</w:t>
            </w:r>
          </w:p>
        </w:tc>
      </w:tr>
      <w:tr w:rsidR="00141C2F">
        <w:tc>
          <w:tcPr>
            <w:tcW w:w="9629" w:type="dxa"/>
            <w:gridSpan w:val="2"/>
            <w:vAlign w:val="center"/>
          </w:tcPr>
          <w:p w:rsidR="00141C2F" w:rsidRDefault="0075558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Модуль 2.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ПІДГОТОВКА ТА ВИЗНАЧЕННЯ ОСНОВНИХ ЕЛЕМЕНТІВ ФІНАНСОВИХ ЗВІТІВ ЗГІДНО МІЖНАРОДНИХ СТАНДАРТІВ</w:t>
            </w:r>
          </w:p>
        </w:tc>
      </w:tr>
      <w:tr w:rsidR="00141C2F">
        <w:tc>
          <w:tcPr>
            <w:tcW w:w="1413" w:type="dxa"/>
            <w:vAlign w:val="center"/>
          </w:tcPr>
          <w:p w:rsidR="00141C2F" w:rsidRDefault="007555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6</w:t>
            </w:r>
          </w:p>
        </w:tc>
        <w:tc>
          <w:tcPr>
            <w:tcW w:w="8216" w:type="dxa"/>
          </w:tcPr>
          <w:p w:rsidR="00141C2F" w:rsidRDefault="0075558A">
            <w:pPr>
              <w:pStyle w:val="Default"/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Забезпечення, непередбачені зобов’язання і активи, виплати працівникам та програми пенсійного забезпечення</w:t>
            </w:r>
          </w:p>
        </w:tc>
      </w:tr>
      <w:tr w:rsidR="00141C2F">
        <w:tc>
          <w:tcPr>
            <w:tcW w:w="1413" w:type="dxa"/>
            <w:vAlign w:val="center"/>
          </w:tcPr>
          <w:p w:rsidR="00141C2F" w:rsidRDefault="007555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7</w:t>
            </w:r>
          </w:p>
        </w:tc>
        <w:tc>
          <w:tcPr>
            <w:tcW w:w="8216" w:type="dxa"/>
          </w:tcPr>
          <w:p w:rsidR="00141C2F" w:rsidRDefault="0075558A">
            <w:pPr>
              <w:pStyle w:val="Default"/>
            </w:pPr>
            <w:r>
              <w:rPr>
                <w:bCs/>
              </w:rPr>
              <w:t>Фінансові інструменти та платіж на основі акцій</w:t>
            </w:r>
          </w:p>
        </w:tc>
      </w:tr>
      <w:tr w:rsidR="00141C2F">
        <w:tc>
          <w:tcPr>
            <w:tcW w:w="1413" w:type="dxa"/>
            <w:vAlign w:val="center"/>
          </w:tcPr>
          <w:p w:rsidR="00141C2F" w:rsidRDefault="007555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8</w:t>
            </w:r>
          </w:p>
        </w:tc>
        <w:tc>
          <w:tcPr>
            <w:tcW w:w="8216" w:type="dxa"/>
          </w:tcPr>
          <w:p w:rsidR="00141C2F" w:rsidRDefault="0075558A">
            <w:pPr>
              <w:pStyle w:val="Default"/>
              <w:rPr>
                <w:lang w:val="uk-UA"/>
              </w:rPr>
            </w:pPr>
            <w:r>
              <w:rPr>
                <w:bCs/>
                <w:lang w:val="uk-UA"/>
              </w:rPr>
              <w:t>Облік д</w:t>
            </w:r>
            <w:r>
              <w:rPr>
                <w:bCs/>
              </w:rPr>
              <w:t>оход</w:t>
            </w:r>
            <w:r>
              <w:rPr>
                <w:bCs/>
                <w:lang w:val="uk-UA"/>
              </w:rPr>
              <w:t>ів</w:t>
            </w:r>
            <w:r>
              <w:rPr>
                <w:bCs/>
              </w:rPr>
              <w:t>, витрат і податк</w:t>
            </w:r>
            <w:r>
              <w:rPr>
                <w:bCs/>
                <w:lang w:val="uk-UA"/>
              </w:rPr>
              <w:t>у</w:t>
            </w:r>
            <w:r>
              <w:rPr>
                <w:bCs/>
              </w:rPr>
              <w:t xml:space="preserve"> на прибуток</w:t>
            </w:r>
          </w:p>
        </w:tc>
      </w:tr>
      <w:tr w:rsidR="00141C2F">
        <w:tc>
          <w:tcPr>
            <w:tcW w:w="1413" w:type="dxa"/>
            <w:vAlign w:val="center"/>
          </w:tcPr>
          <w:p w:rsidR="00141C2F" w:rsidRDefault="007555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9</w:t>
            </w:r>
          </w:p>
        </w:tc>
        <w:tc>
          <w:tcPr>
            <w:tcW w:w="8216" w:type="dxa"/>
          </w:tcPr>
          <w:p w:rsidR="00141C2F" w:rsidRDefault="0075558A">
            <w:pPr>
              <w:pStyle w:val="Default"/>
              <w:rPr>
                <w:lang w:val="uk-UA"/>
              </w:rPr>
            </w:pPr>
            <w:r>
              <w:rPr>
                <w:bCs/>
                <w:lang w:val="uk-UA"/>
              </w:rPr>
              <w:t xml:space="preserve">Зв’язані сторони і консолідована </w:t>
            </w:r>
            <w:r>
              <w:rPr>
                <w:bCs/>
                <w:lang w:val="uk-UA"/>
              </w:rPr>
              <w:t>звітність</w:t>
            </w:r>
          </w:p>
        </w:tc>
      </w:tr>
    </w:tbl>
    <w:p w:rsidR="00141C2F" w:rsidRDefault="00141C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C2F" w:rsidRDefault="0075558A">
      <w:pPr>
        <w:pStyle w:val="Default"/>
        <w:jc w:val="center"/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</w:pPr>
      <w:r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>ФОРМИ, МЕТОДИ ТА</w:t>
      </w:r>
      <w:r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 xml:space="preserve"> ОСВІТНІ ТЕХНОЛОГІЇ</w:t>
      </w:r>
      <w:r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 xml:space="preserve"> </w:t>
      </w:r>
      <w:r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>НАВЧАННЯ</w:t>
      </w:r>
    </w:p>
    <w:p w:rsidR="00141C2F" w:rsidRDefault="0075558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процесі вивчення навчальної дисципліни використовуються освітні технології інтенсифікації навчання на основі опорних схем і моделей, модульно-блочного навчання; вербальні методи (лекція, бесіда, </w:t>
      </w:r>
      <w:r>
        <w:rPr>
          <w:rFonts w:ascii="Times New Roman" w:hAnsi="Times New Roman" w:cs="Times New Roman"/>
          <w:sz w:val="28"/>
          <w:szCs w:val="28"/>
        </w:rPr>
        <w:t>пояснення, розповідь та інші); практичні методи (семінари, практичні та ситуаційні завдання);  наочні методи (презентація, демонстрація, ілюстрація); проблемно-пошукові методи; робота з інформаційними ресурсами (нормативними джерелами, навчально-методичною</w:t>
      </w:r>
      <w:r>
        <w:rPr>
          <w:rFonts w:ascii="Times New Roman" w:hAnsi="Times New Roman" w:cs="Times New Roman"/>
          <w:sz w:val="28"/>
          <w:szCs w:val="28"/>
        </w:rPr>
        <w:t xml:space="preserve"> та науковою літературою, інтернет-ресурсами); самостійна робота над індивідуальним завданням за програмою навчальної дисципліни; дистанційне навчання з використанням системи Moodle; і</w:t>
      </w:r>
      <w:r>
        <w:rPr>
          <w:rFonts w:ascii="Times New Roman" w:eastAsia="Malgun Gothic Semilight" w:hAnsi="Times New Roman" w:cs="Times New Roman"/>
          <w:sz w:val="28"/>
          <w:szCs w:val="28"/>
        </w:rPr>
        <w:t>нш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eastAsia="Malgun Gothic Semilight" w:hAnsi="Times New Roman" w:cs="Times New Roman"/>
          <w:sz w:val="28"/>
          <w:szCs w:val="28"/>
        </w:rPr>
        <w:t>методи навчання.</w:t>
      </w:r>
    </w:p>
    <w:p w:rsidR="00141C2F" w:rsidRDefault="00141C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C2F" w:rsidRDefault="0075558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Форми й методи контролю та оцінювання</w:t>
      </w:r>
    </w:p>
    <w:p w:rsidR="00141C2F" w:rsidRDefault="0075558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Поточний кон</w:t>
      </w:r>
      <w:r>
        <w:rPr>
          <w:rFonts w:ascii="Times New Roman" w:hAnsi="Times New Roman" w:cs="Times New Roman"/>
          <w:sz w:val="28"/>
          <w:szCs w:val="28"/>
        </w:rPr>
        <w:t xml:space="preserve">троль: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фронтальне опитування; індивідуальне опитування; с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тандартизован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і 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тести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; розв’язування практичних ситуацій; тематичні контрольні роботи; презентація результатів виконання індивідуальних та командних завдань (наукових, розрахункових, аналітичних та ін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ших); виступи та 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презентац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ії здобувачів 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науково-практичних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заходах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; і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нш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і 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види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і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ндив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і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дуальних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та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групових завдань.</w:t>
      </w:r>
    </w:p>
    <w:p w:rsidR="00141C2F" w:rsidRDefault="0075558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Підсумковий контроль: залік.</w:t>
      </w:r>
    </w:p>
    <w:p w:rsidR="00141C2F" w:rsidRDefault="00141C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C2F" w:rsidRDefault="0075558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Критерії оцінювання результатів навчання</w:t>
      </w:r>
    </w:p>
    <w:p w:rsidR="00141C2F" w:rsidRDefault="0075558A">
      <w:pPr>
        <w:pStyle w:val="a5"/>
        <w:widowControl w:val="0"/>
        <w:spacing w:before="0" w:beforeAutospacing="0" w:after="0" w:afterAutospacing="0"/>
        <w:ind w:firstLine="567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</w:t>
      </w:r>
      <w:r>
        <w:rPr>
          <w:rFonts w:eastAsia="+mn-ea"/>
          <w:color w:val="000000"/>
          <w:kern w:val="24"/>
          <w:sz w:val="28"/>
          <w:szCs w:val="28"/>
        </w:rPr>
        <w:t>здійснюється за шкалою європейської кредитно-трансферної системи (</w:t>
      </w:r>
      <w:r>
        <w:rPr>
          <w:color w:val="202124"/>
          <w:sz w:val="28"/>
          <w:szCs w:val="28"/>
          <w:shd w:val="clear" w:color="auto" w:fill="FFFFFF"/>
        </w:rPr>
        <w:t>ECTS</w:t>
      </w:r>
      <w:r>
        <w:rPr>
          <w:rFonts w:eastAsia="+mn-ea"/>
          <w:color w:val="000000"/>
          <w:kern w:val="24"/>
          <w:sz w:val="28"/>
          <w:szCs w:val="28"/>
        </w:rPr>
        <w:t>).</w:t>
      </w:r>
    </w:p>
    <w:p w:rsidR="00141C2F" w:rsidRDefault="0075558A">
      <w:pPr>
        <w:pStyle w:val="a5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Критерієм успішного оцінювання є досягнення здобувачем вищої освіти мінімальних порогових рівнів (балів) за кожним запланованим результатом навчання</w:t>
      </w:r>
    </w:p>
    <w:p w:rsidR="00141C2F" w:rsidRDefault="00141C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C2F" w:rsidRDefault="0075558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Політика щодо академічної доброче</w:t>
      </w:r>
      <w:r>
        <w:rPr>
          <w:rFonts w:ascii="Times New Roman" w:hAnsi="Times New Roman" w:cs="Times New Roman"/>
          <w:b/>
          <w:caps/>
          <w:sz w:val="28"/>
          <w:szCs w:val="28"/>
        </w:rPr>
        <w:t>сності</w:t>
      </w:r>
    </w:p>
    <w:p w:rsidR="00141C2F" w:rsidRDefault="0075558A">
      <w:pPr>
        <w:pStyle w:val="a7"/>
        <w:ind w:left="0" w:firstLine="567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141C2F" w:rsidRDefault="0075558A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Етичний кодекс </w:t>
      </w:r>
      <w:r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Федьковича. </w:t>
      </w:r>
      <w:r>
        <w:rPr>
          <w:bCs/>
          <w:color w:val="000000" w:themeColor="text1"/>
          <w:sz w:val="28"/>
          <w:szCs w:val="28"/>
          <w:lang w:val="en-US"/>
        </w:rPr>
        <w:t>URL</w:t>
      </w:r>
      <w:r>
        <w:rPr>
          <w:bCs/>
          <w:color w:val="000000" w:themeColor="text1"/>
          <w:sz w:val="28"/>
          <w:szCs w:val="28"/>
        </w:rPr>
        <w:t xml:space="preserve">: </w:t>
      </w:r>
      <w:hyperlink r:id="rId11" w:history="1">
        <w:r>
          <w:rPr>
            <w:rStyle w:val="a4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>
        <w:rPr>
          <w:rStyle w:val="a4"/>
          <w:bCs/>
          <w:sz w:val="28"/>
          <w:szCs w:val="28"/>
        </w:rPr>
        <w:t>;</w:t>
      </w:r>
    </w:p>
    <w:p w:rsidR="00141C2F" w:rsidRDefault="0075558A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Положенням про виявлення та запоб</w:t>
      </w:r>
      <w:r>
        <w:rPr>
          <w:bCs/>
          <w:color w:val="000000" w:themeColor="text1"/>
          <w:sz w:val="28"/>
          <w:szCs w:val="28"/>
        </w:rPr>
        <w:t xml:space="preserve">ігання академічного плагіату у Чернівецькому національному університету імені Юрія Федьковича. </w:t>
      </w:r>
      <w:r>
        <w:rPr>
          <w:bCs/>
          <w:color w:val="000000" w:themeColor="text1"/>
          <w:sz w:val="28"/>
          <w:szCs w:val="28"/>
          <w:lang w:val="en-US"/>
        </w:rPr>
        <w:t>URL</w:t>
      </w:r>
      <w:r>
        <w:rPr>
          <w:bCs/>
          <w:color w:val="000000" w:themeColor="text1"/>
          <w:sz w:val="28"/>
          <w:szCs w:val="28"/>
        </w:rPr>
        <w:t>: </w:t>
      </w:r>
      <w:hyperlink r:id="rId12" w:history="1">
        <w:r>
          <w:rPr>
            <w:rStyle w:val="a4"/>
            <w:bCs/>
            <w:sz w:val="28"/>
            <w:szCs w:val="28"/>
          </w:rPr>
          <w:t>https://www.chnu.edu.</w:t>
        </w:r>
        <w:r>
          <w:rPr>
            <w:rStyle w:val="a4"/>
            <w:bCs/>
            <w:sz w:val="28"/>
            <w:szCs w:val="28"/>
          </w:rPr>
          <w:t>ua/media/hkzbr1b2/polozhennia-pro-vyiavlennia-ta-</w:t>
        </w:r>
        <w:r>
          <w:rPr>
            <w:rStyle w:val="a4"/>
            <w:bCs/>
            <w:sz w:val="28"/>
            <w:szCs w:val="28"/>
          </w:rPr>
          <w:lastRenderedPageBreak/>
          <w:t>zapobihannia-akademichnomu-plahiatu-u-chnu-2025.pdf</w:t>
        </w:r>
      </w:hyperlink>
    </w:p>
    <w:p w:rsidR="00141C2F" w:rsidRDefault="00141C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1C2F" w:rsidRDefault="0075558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Інформаційні ресурси</w:t>
      </w:r>
    </w:p>
    <w:p w:rsidR="00141C2F" w:rsidRDefault="0075558A">
      <w:pPr>
        <w:pStyle w:val="a7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Академічні ресурси:</w:t>
      </w:r>
    </w:p>
    <w:p w:rsidR="00141C2F" w:rsidRDefault="0075558A">
      <w:pPr>
        <w:pStyle w:val="a7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1. Репозитарій академічних статей, таких як Google Scholar або ResearchGate, для пошуку актуальних наукових </w:t>
      </w:r>
      <w:r>
        <w:rPr>
          <w:sz w:val="28"/>
          <w:szCs w:val="28"/>
        </w:rPr>
        <w:t>досліджень та публікацій з курсу.</w:t>
      </w:r>
    </w:p>
    <w:p w:rsidR="00141C2F" w:rsidRDefault="0075558A">
      <w:pPr>
        <w:pStyle w:val="a7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2. Archer – інституційний репозитарій відкритого доступу представників Чернівецького національного університету імені Юрія Федьковича. URL: </w:t>
      </w:r>
      <w:hyperlink r:id="rId13" w:history="1">
        <w:r>
          <w:rPr>
            <w:rStyle w:val="a4"/>
            <w:sz w:val="28"/>
            <w:szCs w:val="28"/>
          </w:rPr>
          <w:t>https://archer.chnu.edu.ua</w:t>
        </w:r>
      </w:hyperlink>
      <w:r>
        <w:rPr>
          <w:sz w:val="28"/>
          <w:szCs w:val="28"/>
        </w:rPr>
        <w:t>.</w:t>
      </w:r>
    </w:p>
    <w:p w:rsidR="00141C2F" w:rsidRDefault="0075558A">
      <w:pPr>
        <w:pStyle w:val="a7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Офіційні са</w:t>
      </w:r>
      <w:r>
        <w:rPr>
          <w:sz w:val="28"/>
          <w:szCs w:val="28"/>
        </w:rPr>
        <w:t>йти органів державного управління України:</w:t>
      </w:r>
    </w:p>
    <w:p w:rsidR="00141C2F" w:rsidRDefault="0075558A">
      <w:pPr>
        <w:pStyle w:val="a7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</w:rPr>
        <w:t>Офіційний сайт</w:t>
      </w:r>
      <w:r>
        <w:rPr>
          <w:sz w:val="28"/>
          <w:szCs w:val="28"/>
        </w:rPr>
        <w:t xml:space="preserve"> Верховної Ради України. </w:t>
      </w:r>
      <w:r>
        <w:rPr>
          <w:sz w:val="28"/>
        </w:rPr>
        <w:t>URL:</w:t>
      </w:r>
      <w:r>
        <w:rPr>
          <w:sz w:val="28"/>
          <w:szCs w:val="28"/>
        </w:rPr>
        <w:t xml:space="preserve"> </w:t>
      </w:r>
      <w:hyperlink r:id="rId14" w:history="1">
        <w:r>
          <w:rPr>
            <w:rStyle w:val="a4"/>
            <w:sz w:val="28"/>
          </w:rPr>
          <w:t>www.rada.gov.ua</w:t>
        </w:r>
        <w:r>
          <w:rPr>
            <w:rStyle w:val="a4"/>
            <w:sz w:val="28"/>
            <w:lang w:val="en-US"/>
          </w:rPr>
          <w:t>/</w:t>
        </w:r>
      </w:hyperlink>
      <w:r>
        <w:rPr>
          <w:sz w:val="28"/>
          <w:szCs w:val="28"/>
        </w:rPr>
        <w:t xml:space="preserve">.  </w:t>
      </w:r>
    </w:p>
    <w:p w:rsidR="00141C2F" w:rsidRDefault="0075558A">
      <w:pPr>
        <w:pStyle w:val="a7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Кабінету Міністрів України. </w:t>
      </w:r>
      <w:r>
        <w:rPr>
          <w:sz w:val="28"/>
        </w:rPr>
        <w:t xml:space="preserve">URL: </w:t>
      </w:r>
      <w:hyperlink r:id="rId15" w:history="1">
        <w:r>
          <w:rPr>
            <w:rStyle w:val="a4"/>
            <w:sz w:val="28"/>
          </w:rPr>
          <w:t>https://www.kmu.gov.ua</w:t>
        </w:r>
      </w:hyperlink>
      <w:r>
        <w:rPr>
          <w:sz w:val="28"/>
        </w:rPr>
        <w:t xml:space="preserve">. </w:t>
      </w:r>
    </w:p>
    <w:p w:rsidR="00141C2F" w:rsidRDefault="0075558A">
      <w:pPr>
        <w:pStyle w:val="a7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Державної казначейської служби України. </w:t>
      </w:r>
      <w:r>
        <w:rPr>
          <w:sz w:val="28"/>
        </w:rPr>
        <w:t xml:space="preserve">URL: </w:t>
      </w:r>
      <w:hyperlink r:id="rId16" w:history="1">
        <w:r>
          <w:rPr>
            <w:rStyle w:val="a4"/>
            <w:sz w:val="28"/>
          </w:rPr>
          <w:t>https://www.treasury.gov.ua</w:t>
        </w:r>
      </w:hyperlink>
      <w:r>
        <w:rPr>
          <w:sz w:val="28"/>
        </w:rPr>
        <w:t xml:space="preserve">. </w:t>
      </w:r>
    </w:p>
    <w:p w:rsidR="00141C2F" w:rsidRDefault="0075558A">
      <w:pPr>
        <w:pStyle w:val="a7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Державної митної служби України. </w:t>
      </w:r>
      <w:r>
        <w:rPr>
          <w:sz w:val="28"/>
        </w:rPr>
        <w:t xml:space="preserve">URL: </w:t>
      </w:r>
      <w:hyperlink r:id="rId17" w:history="1">
        <w:r>
          <w:rPr>
            <w:rStyle w:val="a4"/>
            <w:sz w:val="28"/>
          </w:rPr>
          <w:t>https://customs.gov.ua</w:t>
        </w:r>
      </w:hyperlink>
      <w:r>
        <w:rPr>
          <w:sz w:val="28"/>
        </w:rPr>
        <w:t xml:space="preserve">. </w:t>
      </w:r>
    </w:p>
    <w:p w:rsidR="00141C2F" w:rsidRDefault="0075558A">
      <w:pPr>
        <w:pStyle w:val="a7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Державної податкової служби України. </w:t>
      </w:r>
      <w:r>
        <w:rPr>
          <w:sz w:val="28"/>
        </w:rPr>
        <w:t xml:space="preserve">URL: </w:t>
      </w:r>
      <w:hyperlink r:id="rId18" w:history="1">
        <w:r>
          <w:rPr>
            <w:rStyle w:val="a4"/>
            <w:sz w:val="28"/>
          </w:rPr>
          <w:t>https://tax.gov.ua</w:t>
        </w:r>
      </w:hyperlink>
      <w:r>
        <w:rPr>
          <w:sz w:val="28"/>
        </w:rPr>
        <w:t xml:space="preserve">. </w:t>
      </w:r>
    </w:p>
    <w:p w:rsidR="00141C2F" w:rsidRDefault="0075558A">
      <w:pPr>
        <w:pStyle w:val="a7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</w:rPr>
        <w:t>Офіційний сайт</w:t>
      </w:r>
      <w:r>
        <w:rPr>
          <w:sz w:val="28"/>
          <w:szCs w:val="28"/>
        </w:rPr>
        <w:t xml:space="preserve"> Міністерства фінансів України. </w:t>
      </w:r>
      <w:r>
        <w:rPr>
          <w:sz w:val="28"/>
        </w:rPr>
        <w:t xml:space="preserve">URL: </w:t>
      </w:r>
      <w:hyperlink r:id="rId19" w:history="1">
        <w:r>
          <w:rPr>
            <w:rStyle w:val="a4"/>
            <w:sz w:val="28"/>
            <w:szCs w:val="28"/>
          </w:rPr>
          <w:t>www.minfin.gov.ua</w:t>
        </w:r>
      </w:hyperlink>
      <w:r>
        <w:rPr>
          <w:sz w:val="28"/>
        </w:rPr>
        <w:t xml:space="preserve">. </w:t>
      </w:r>
    </w:p>
    <w:p w:rsidR="00141C2F" w:rsidRDefault="00141C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C2F" w:rsidRDefault="00141C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C2F" w:rsidRDefault="0075558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Детальна інформація щодо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вивчення курсу «Міжнародні стандарти фінансової звітності»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висвітлена у робочій програмі навчальної дисципліни</w:t>
      </w:r>
    </w:p>
    <w:p w:rsidR="00141C2F" w:rsidRDefault="0075558A">
      <w:pPr>
        <w:pStyle w:val="a7"/>
        <w:tabs>
          <w:tab w:val="left" w:pos="0"/>
        </w:tabs>
        <w:ind w:left="0"/>
        <w:jc w:val="center"/>
        <w:rPr>
          <w:bCs/>
          <w:i/>
          <w:iCs/>
          <w:color w:val="000000" w:themeColor="text1"/>
          <w:sz w:val="28"/>
          <w:szCs w:val="28"/>
        </w:rPr>
      </w:pPr>
      <w:r>
        <w:rPr>
          <w:rFonts w:eastAsia="+mn-ea"/>
          <w:i/>
          <w:iCs/>
          <w:color w:val="0070C0"/>
          <w:kern w:val="24"/>
          <w:sz w:val="28"/>
          <w:szCs w:val="28"/>
        </w:rPr>
        <w:t>(https://accounting.chnu.edu.ua/diialnist/osvitnia/osvitni-prohramy/bakalavr/robochi-prohramy/</w:t>
      </w:r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)</w:t>
      </w:r>
    </w:p>
    <w:p w:rsidR="00141C2F" w:rsidRDefault="00141C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C2F" w:rsidRDefault="00141C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C2F" w:rsidRDefault="00141C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C2F" w:rsidRDefault="00141C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C2F" w:rsidRDefault="00141C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41C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58A" w:rsidRDefault="0075558A">
      <w:pPr>
        <w:spacing w:line="240" w:lineRule="auto"/>
      </w:pPr>
      <w:r>
        <w:separator/>
      </w:r>
    </w:p>
  </w:endnote>
  <w:endnote w:type="continuationSeparator" w:id="0">
    <w:p w:rsidR="0075558A" w:rsidRDefault="007555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1"/>
    <w:family w:val="swiss"/>
    <w:pitch w:val="default"/>
    <w:sig w:usb0="900002AF" w:usb1="01D77CFB" w:usb2="00000012" w:usb3="00000000" w:csb0="203E01BD" w:csb1="D7FF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+mn-ea">
    <w:altName w:val="Times New Roman"/>
    <w:charset w:val="00"/>
    <w:family w:val="roman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58A" w:rsidRDefault="0075558A">
      <w:pPr>
        <w:spacing w:after="0"/>
      </w:pPr>
      <w:r>
        <w:separator/>
      </w:r>
    </w:p>
  </w:footnote>
  <w:footnote w:type="continuationSeparator" w:id="0">
    <w:p w:rsidR="0075558A" w:rsidRDefault="007555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52B9"/>
    <w:multiLevelType w:val="multilevel"/>
    <w:tmpl w:val="031E52B9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1D16957"/>
    <w:multiLevelType w:val="multilevel"/>
    <w:tmpl w:val="31D1695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5A"/>
    <w:rsid w:val="000204E0"/>
    <w:rsid w:val="000D5A91"/>
    <w:rsid w:val="001063FA"/>
    <w:rsid w:val="00141C2F"/>
    <w:rsid w:val="001F6E39"/>
    <w:rsid w:val="002E5CD8"/>
    <w:rsid w:val="004139CC"/>
    <w:rsid w:val="00427B40"/>
    <w:rsid w:val="00486B62"/>
    <w:rsid w:val="005961AA"/>
    <w:rsid w:val="00672B4B"/>
    <w:rsid w:val="006A0000"/>
    <w:rsid w:val="0075558A"/>
    <w:rsid w:val="007E2A31"/>
    <w:rsid w:val="00874AB2"/>
    <w:rsid w:val="009852F3"/>
    <w:rsid w:val="009876D7"/>
    <w:rsid w:val="009B2B9B"/>
    <w:rsid w:val="00D3198C"/>
    <w:rsid w:val="00D96168"/>
    <w:rsid w:val="00E34EE3"/>
    <w:rsid w:val="00EC155A"/>
    <w:rsid w:val="00EE2923"/>
    <w:rsid w:val="00EE6408"/>
    <w:rsid w:val="00EF7B16"/>
    <w:rsid w:val="00F1290D"/>
    <w:rsid w:val="00F603A2"/>
    <w:rsid w:val="722A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668EB4F4-4699-4DBF-88E9-6D4054AA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link w:val="a8"/>
    <w:uiPriority w:val="1"/>
    <w:qFormat/>
    <w:pPr>
      <w:widowControl w:val="0"/>
      <w:autoSpaceDE w:val="0"/>
      <w:autoSpaceDN w:val="0"/>
      <w:spacing w:after="0" w:line="240" w:lineRule="auto"/>
      <w:ind w:left="859" w:hanging="360"/>
      <w:jc w:val="both"/>
    </w:pPr>
    <w:rPr>
      <w:rFonts w:ascii="Times New Roman" w:eastAsia="Times New Roman" w:hAnsi="Times New Roman" w:cs="Times New Roman"/>
    </w:rPr>
  </w:style>
  <w:style w:type="character" w:customStyle="1" w:styleId="a8">
    <w:name w:val="Абзац списка Знак"/>
    <w:link w:val="a7"/>
    <w:uiPriority w:val="34"/>
    <w:qFormat/>
    <w:locked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ounting.chnu.edu.ua/pro-nas/kolektyv/tanasiieva-maryna-mykolaivna/" TargetMode="External"/><Relationship Id="rId13" Type="http://schemas.openxmlformats.org/officeDocument/2006/relationships/hyperlink" Target="https://archer.chnu.edu.ua" TargetMode="External"/><Relationship Id="rId18" Type="http://schemas.openxmlformats.org/officeDocument/2006/relationships/hyperlink" Target="https://tax.gov.u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chnu.edu.ua/media/hkzbr1b2/polozhennia-pro-vyiavlennia-ta-zapobihannia-akademichnomu-plahiatu-u-chnu-2025.pdf" TargetMode="External"/><Relationship Id="rId17" Type="http://schemas.openxmlformats.org/officeDocument/2006/relationships/hyperlink" Target="https://customs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reasury.gov.u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hnu.edu.ua/media/jxdbs0zb/etychnyi-kodeks-chernivets%20koho-natsionalnoho-universytetu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kmu.gov.ua" TargetMode="External"/><Relationship Id="rId10" Type="http://schemas.openxmlformats.org/officeDocument/2006/relationships/hyperlink" Target="https://moodle.chnu.edu.ua/course/view.php?id=2771" TargetMode="External"/><Relationship Id="rId19" Type="http://schemas.openxmlformats.org/officeDocument/2006/relationships/hyperlink" Target="http://www.minfin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tanasiyeva@chnu.edu.ua" TargetMode="External"/><Relationship Id="rId14" Type="http://schemas.openxmlformats.org/officeDocument/2006/relationships/hyperlink" Target="http://www.rada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1007</Words>
  <Characters>5746</Characters>
  <Application>Microsoft Office Word</Application>
  <DocSecurity>0</DocSecurity>
  <Lines>47</Lines>
  <Paragraphs>13</Paragraphs>
  <ScaleCrop>false</ScaleCrop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2024-08-07T10:36:00Z</dcterms:created>
  <dcterms:modified xsi:type="dcterms:W3CDTF">2025-10-31T12:25:00Z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B1186D91CE0A43F99BC4808164976509_12</vt:lpwstr>
  </property>
</Properties>
</file>