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D60D71" w:rsidRDefault="00625EF8">
      <w:pPr>
        <w:spacing w:line="462" w:lineRule="exact"/>
        <w:ind w:left="753" w:right="589"/>
        <w:jc w:val="center"/>
        <w:rPr>
          <w:b/>
          <w:color w:val="622423"/>
          <w:sz w:val="28"/>
        </w:rPr>
      </w:pPr>
      <w:r>
        <w:rPr>
          <w:b/>
          <w:color w:val="622423"/>
          <w:position w:val="3"/>
          <w:sz w:val="40"/>
        </w:rPr>
        <w:t>«</w:t>
      </w:r>
      <w:r w:rsidR="00D60D71">
        <w:rPr>
          <w:b/>
          <w:color w:val="622423"/>
          <w:sz w:val="28"/>
        </w:rPr>
        <w:t xml:space="preserve">ОБЛІК І ОПОДАТКУВАННЯ ДІЯЛЬНОСТІ ЛІСОВИХ </w:t>
      </w:r>
    </w:p>
    <w:p w:rsidR="00682327" w:rsidRDefault="00D60D71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sz w:val="28"/>
        </w:rPr>
        <w:t>ГОСПОДАРСТВ</w:t>
      </w:r>
      <w:r w:rsidR="00625EF8">
        <w:rPr>
          <w:b/>
          <w:color w:val="622423"/>
          <w:position w:val="3"/>
          <w:sz w:val="40"/>
        </w:rPr>
        <w:t>»</w:t>
      </w:r>
    </w:p>
    <w:p w:rsidR="00682327" w:rsidRPr="008455C3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2B00EA">
        <w:rPr>
          <w:b/>
          <w:i/>
          <w:sz w:val="28"/>
          <w:u w:val="single"/>
        </w:rPr>
        <w:t>вибіркова</w:t>
      </w:r>
      <w:r w:rsidRPr="008455C3">
        <w:rPr>
          <w:b/>
          <w:i/>
          <w:spacing w:val="70"/>
          <w:sz w:val="28"/>
        </w:rPr>
        <w:t xml:space="preserve"> </w:t>
      </w:r>
      <w:r w:rsidRPr="008455C3">
        <w:rPr>
          <w:sz w:val="28"/>
        </w:rPr>
        <w:t>(</w:t>
      </w:r>
      <w:r w:rsidR="002B00EA">
        <w:rPr>
          <w:sz w:val="28"/>
        </w:rPr>
        <w:t>4</w:t>
      </w:r>
      <w:r w:rsidRPr="008455C3">
        <w:rPr>
          <w:sz w:val="28"/>
        </w:rPr>
        <w:t xml:space="preserve"> </w:t>
      </w:r>
      <w:proofErr w:type="spellStart"/>
      <w:r w:rsidR="002B00EA">
        <w:rPr>
          <w:i/>
          <w:sz w:val="28"/>
        </w:rPr>
        <w:t>кредита</w:t>
      </w:r>
      <w:proofErr w:type="spellEnd"/>
      <w:r w:rsidRPr="008455C3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40F7B" w:rsidRPr="00625EF8">
                <w:rPr>
                  <w:rStyle w:val="a5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5523E1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682327">
            <w:pPr>
              <w:pStyle w:val="TableParagraph"/>
              <w:rPr>
                <w:i/>
                <w:sz w:val="28"/>
              </w:rPr>
            </w:pP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5C687D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C687D">
        <w:rPr>
          <w:sz w:val="28"/>
          <w:szCs w:val="28"/>
        </w:rPr>
        <w:t>Навчальна дисципліна «</w:t>
      </w:r>
      <w:r w:rsidR="00D60D71" w:rsidRPr="005C687D">
        <w:rPr>
          <w:sz w:val="28"/>
          <w:szCs w:val="28"/>
        </w:rPr>
        <w:t>Облік і оподаткування діяльності лісових господарств</w:t>
      </w:r>
      <w:r w:rsidRPr="005C687D">
        <w:rPr>
          <w:sz w:val="28"/>
          <w:szCs w:val="28"/>
        </w:rPr>
        <w:t>» спрямована</w:t>
      </w:r>
      <w:r w:rsidRPr="005C687D">
        <w:rPr>
          <w:spacing w:val="1"/>
          <w:sz w:val="28"/>
          <w:szCs w:val="28"/>
        </w:rPr>
        <w:t xml:space="preserve"> </w:t>
      </w:r>
      <w:r w:rsidRPr="005C687D">
        <w:rPr>
          <w:sz w:val="28"/>
          <w:szCs w:val="28"/>
        </w:rPr>
        <w:t xml:space="preserve">на </w:t>
      </w:r>
      <w:r w:rsidR="00DE5561" w:rsidRPr="005C687D">
        <w:rPr>
          <w:sz w:val="28"/>
          <w:szCs w:val="28"/>
        </w:rPr>
        <w:t>поглиблення знань</w:t>
      </w:r>
      <w:r w:rsidR="00097641" w:rsidRPr="005C687D">
        <w:rPr>
          <w:sz w:val="28"/>
          <w:szCs w:val="28"/>
        </w:rPr>
        <w:t xml:space="preserve"> </w:t>
      </w:r>
      <w:r w:rsidR="00A90623" w:rsidRPr="005C687D">
        <w:rPr>
          <w:sz w:val="28"/>
          <w:szCs w:val="28"/>
        </w:rPr>
        <w:t>здобувачів освіти</w:t>
      </w:r>
      <w:r w:rsidR="00097641" w:rsidRPr="005C687D">
        <w:rPr>
          <w:sz w:val="28"/>
          <w:szCs w:val="28"/>
        </w:rPr>
        <w:t xml:space="preserve"> </w:t>
      </w:r>
      <w:r w:rsidR="005C687D" w:rsidRPr="005C687D">
        <w:rPr>
          <w:sz w:val="28"/>
          <w:szCs w:val="28"/>
        </w:rPr>
        <w:t>з теорії і</w:t>
      </w:r>
      <w:r w:rsidR="005C687D">
        <w:rPr>
          <w:sz w:val="28"/>
          <w:szCs w:val="28"/>
        </w:rPr>
        <w:t xml:space="preserve"> практики організації та </w:t>
      </w:r>
      <w:r w:rsidR="005C687D" w:rsidRPr="005C687D">
        <w:rPr>
          <w:sz w:val="28"/>
          <w:szCs w:val="28"/>
        </w:rPr>
        <w:t>в</w:t>
      </w:r>
      <w:r w:rsidR="00C876FA" w:rsidRPr="005C687D">
        <w:rPr>
          <w:sz w:val="28"/>
          <w:szCs w:val="28"/>
        </w:rPr>
        <w:t xml:space="preserve">едення бухгалтерського обліку </w:t>
      </w:r>
      <w:r w:rsidR="006F6AC9" w:rsidRPr="005C687D">
        <w:rPr>
          <w:sz w:val="28"/>
          <w:szCs w:val="28"/>
        </w:rPr>
        <w:t>активів, капіталу, зобов’язань</w:t>
      </w:r>
      <w:r w:rsidR="006F6AC9" w:rsidRPr="005C687D">
        <w:rPr>
          <w:sz w:val="28"/>
          <w:szCs w:val="28"/>
        </w:rPr>
        <w:t>, доходів</w:t>
      </w:r>
      <w:r w:rsidR="003D59C3" w:rsidRPr="005C687D">
        <w:rPr>
          <w:sz w:val="28"/>
          <w:szCs w:val="28"/>
        </w:rPr>
        <w:t xml:space="preserve">, витрат, </w:t>
      </w:r>
      <w:r w:rsidR="006F6AC9" w:rsidRPr="005C687D">
        <w:rPr>
          <w:sz w:val="28"/>
          <w:szCs w:val="28"/>
        </w:rPr>
        <w:t>фінансових результатів</w:t>
      </w:r>
      <w:r w:rsidR="006F6AC9" w:rsidRPr="005C687D">
        <w:rPr>
          <w:sz w:val="28"/>
          <w:szCs w:val="28"/>
        </w:rPr>
        <w:t xml:space="preserve"> </w:t>
      </w:r>
      <w:r w:rsidR="00C876FA" w:rsidRPr="005C687D">
        <w:rPr>
          <w:sz w:val="28"/>
          <w:szCs w:val="28"/>
        </w:rPr>
        <w:t>і оподаткування підприємств з врахуванням специфіки лісових господарств</w:t>
      </w:r>
      <w:r w:rsidR="00097641" w:rsidRPr="005C687D">
        <w:rPr>
          <w:sz w:val="28"/>
          <w:szCs w:val="28"/>
        </w:rPr>
        <w:t>.</w:t>
      </w:r>
    </w:p>
    <w:p w:rsidR="00097641" w:rsidRPr="005C687D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М</w:t>
      </w:r>
      <w:r w:rsidR="00097641" w:rsidRPr="005C687D">
        <w:rPr>
          <w:bCs/>
          <w:kern w:val="24"/>
          <w:sz w:val="28"/>
          <w:szCs w:val="28"/>
        </w:rPr>
        <w:t>ета навчальної дисципліни:</w:t>
      </w:r>
      <w:r w:rsidR="00097641" w:rsidRPr="005C687D">
        <w:rPr>
          <w:kern w:val="24"/>
          <w:sz w:val="28"/>
          <w:szCs w:val="28"/>
        </w:rPr>
        <w:t xml:space="preserve"> </w:t>
      </w:r>
      <w:r w:rsidR="00AA0266" w:rsidRPr="005C687D">
        <w:rPr>
          <w:sz w:val="28"/>
          <w:szCs w:val="28"/>
        </w:rPr>
        <w:t xml:space="preserve">розширення базових теоретичних знань та практичних навичок здобувачів щодо особливостей методики здійснення </w:t>
      </w:r>
      <w:r w:rsidR="00AA0266" w:rsidRPr="005C687D">
        <w:rPr>
          <w:sz w:val="28"/>
          <w:szCs w:val="28"/>
        </w:rPr>
        <w:t>обліку та оподаткування</w:t>
      </w:r>
      <w:r w:rsidR="00AA0266" w:rsidRPr="005C687D">
        <w:rPr>
          <w:sz w:val="28"/>
          <w:szCs w:val="28"/>
        </w:rPr>
        <w:t xml:space="preserve"> діяльності </w:t>
      </w:r>
      <w:r w:rsidR="00AA0266" w:rsidRPr="005C687D">
        <w:rPr>
          <w:sz w:val="28"/>
          <w:szCs w:val="28"/>
        </w:rPr>
        <w:t>лісових господарств</w:t>
      </w:r>
      <w:r w:rsidR="00097641" w:rsidRPr="005C687D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Pr="00C329BE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7A0D6A" w:rsidTr="008C67F7">
        <w:trPr>
          <w:trHeight w:val="642"/>
        </w:trPr>
        <w:tc>
          <w:tcPr>
            <w:tcW w:w="9931" w:type="dxa"/>
            <w:gridSpan w:val="2"/>
          </w:tcPr>
          <w:p w:rsidR="00682327" w:rsidRPr="007A0D6A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7A0D6A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10CF7">
              <w:rPr>
                <w:b/>
                <w:caps/>
                <w:sz w:val="28"/>
                <w:szCs w:val="28"/>
              </w:rPr>
              <w:t>Особливості обліку активів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 у лісових господарствах</w:t>
            </w:r>
          </w:p>
        </w:tc>
      </w:tr>
      <w:tr w:rsidR="00581E83" w:rsidRPr="007A0D6A" w:rsidTr="008C67F7">
        <w:trPr>
          <w:trHeight w:val="313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діяльності лісових господарств та їх вплив на організацію та ведення бухгалтерського обліку</w:t>
            </w:r>
          </w:p>
        </w:tc>
      </w:tr>
      <w:tr w:rsidR="00581E83" w:rsidRPr="007A0D6A" w:rsidTr="008C67F7">
        <w:trPr>
          <w:trHeight w:val="318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основних засобів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обліку запасів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Особливості обліку лісозаготівельного виробництва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5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грошових коштів у лісових господарствах</w:t>
            </w:r>
          </w:p>
        </w:tc>
      </w:tr>
      <w:tr w:rsidR="00581E83" w:rsidRPr="007A0D6A" w:rsidTr="008C67F7">
        <w:trPr>
          <w:trHeight w:val="311"/>
        </w:trPr>
        <w:tc>
          <w:tcPr>
            <w:tcW w:w="1242" w:type="dxa"/>
          </w:tcPr>
          <w:p w:rsidR="00581E83" w:rsidRPr="007A0D6A" w:rsidRDefault="00581E83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 xml:space="preserve">Тема 6 </w:t>
            </w:r>
          </w:p>
        </w:tc>
        <w:tc>
          <w:tcPr>
            <w:tcW w:w="8689" w:type="dxa"/>
          </w:tcPr>
          <w:p w:rsidR="00581E83" w:rsidRPr="007A0D6A" w:rsidRDefault="009E40C7" w:rsidP="00581E8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</w:t>
            </w:r>
            <w:r w:rsidR="005523E1">
              <w:rPr>
                <w:sz w:val="28"/>
                <w:szCs w:val="28"/>
              </w:rPr>
              <w:t xml:space="preserve">ік дебіторської заборгованості </w:t>
            </w:r>
            <w:bookmarkStart w:id="0" w:name="_GoBack"/>
            <w:bookmarkEnd w:id="0"/>
            <w:r w:rsidRPr="007A0D6A">
              <w:rPr>
                <w:sz w:val="28"/>
                <w:szCs w:val="28"/>
              </w:rPr>
              <w:t>у лісових господарствах</w:t>
            </w:r>
          </w:p>
        </w:tc>
      </w:tr>
      <w:tr w:rsidR="00682327" w:rsidRPr="007A0D6A" w:rsidTr="008C67F7">
        <w:trPr>
          <w:trHeight w:val="132"/>
        </w:trPr>
        <w:tc>
          <w:tcPr>
            <w:tcW w:w="9931" w:type="dxa"/>
            <w:gridSpan w:val="2"/>
          </w:tcPr>
          <w:p w:rsidR="00682327" w:rsidRPr="007A0D6A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7A0D6A">
              <w:rPr>
                <w:b/>
                <w:caps/>
                <w:sz w:val="28"/>
                <w:szCs w:val="28"/>
              </w:rPr>
              <w:t>МОДУЛЬ 2</w:t>
            </w:r>
            <w:r w:rsidR="00625EF8" w:rsidRPr="007A0D6A">
              <w:rPr>
                <w:b/>
                <w:caps/>
                <w:sz w:val="28"/>
                <w:szCs w:val="28"/>
              </w:rPr>
              <w:t xml:space="preserve">. </w:t>
            </w:r>
            <w:r w:rsidR="009E40C7" w:rsidRPr="007A0D6A">
              <w:rPr>
                <w:b/>
                <w:caps/>
                <w:sz w:val="28"/>
                <w:szCs w:val="28"/>
              </w:rPr>
              <w:t>Особливості обліку вл</w:t>
            </w:r>
            <w:r w:rsidR="00210CF7">
              <w:rPr>
                <w:b/>
                <w:caps/>
                <w:sz w:val="28"/>
                <w:szCs w:val="28"/>
              </w:rPr>
              <w:t xml:space="preserve">асного капіталу та зобов’язань 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у лісових господарствах. </w:t>
            </w:r>
            <w:r w:rsidR="00CB09C7" w:rsidRPr="007A0D6A">
              <w:rPr>
                <w:b/>
                <w:caps/>
                <w:sz w:val="28"/>
                <w:szCs w:val="28"/>
              </w:rPr>
              <w:t xml:space="preserve">ОПОДАТКУВАННЯ ТА </w:t>
            </w:r>
            <w:r w:rsidR="00210CF7">
              <w:rPr>
                <w:b/>
                <w:caps/>
                <w:sz w:val="28"/>
                <w:szCs w:val="28"/>
              </w:rPr>
              <w:t>Звітність</w:t>
            </w:r>
            <w:r w:rsidR="009E40C7" w:rsidRPr="007A0D6A">
              <w:rPr>
                <w:b/>
                <w:caps/>
                <w:sz w:val="28"/>
                <w:szCs w:val="28"/>
              </w:rPr>
              <w:t xml:space="preserve"> лісових господарств</w:t>
            </w:r>
          </w:p>
        </w:tc>
      </w:tr>
      <w:tr w:rsidR="00682327" w:rsidRPr="007A0D6A" w:rsidTr="008C67F7">
        <w:trPr>
          <w:trHeight w:val="208"/>
        </w:trPr>
        <w:tc>
          <w:tcPr>
            <w:tcW w:w="1242" w:type="dxa"/>
          </w:tcPr>
          <w:p w:rsidR="00682327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689" w:type="dxa"/>
          </w:tcPr>
          <w:p w:rsidR="00FB5B8F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власного капіталу лісових господарств</w:t>
            </w:r>
          </w:p>
        </w:tc>
      </w:tr>
      <w:tr w:rsidR="000153E5" w:rsidRPr="007A0D6A" w:rsidTr="008C67F7">
        <w:trPr>
          <w:trHeight w:val="160"/>
        </w:trPr>
        <w:tc>
          <w:tcPr>
            <w:tcW w:w="1242" w:type="dxa"/>
          </w:tcPr>
          <w:p w:rsidR="000153E5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9" w:type="dxa"/>
          </w:tcPr>
          <w:p w:rsidR="000153E5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зобов’язань та забезпечень лісових господарств</w:t>
            </w:r>
          </w:p>
        </w:tc>
      </w:tr>
      <w:tr w:rsidR="000153E5" w:rsidRPr="007A0D6A" w:rsidTr="008C67F7">
        <w:trPr>
          <w:trHeight w:val="263"/>
        </w:trPr>
        <w:tc>
          <w:tcPr>
            <w:tcW w:w="1242" w:type="dxa"/>
          </w:tcPr>
          <w:p w:rsidR="000153E5" w:rsidRPr="007A0D6A" w:rsidRDefault="00581E83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9" w:type="dxa"/>
          </w:tcPr>
          <w:p w:rsidR="000153E5" w:rsidRPr="007A0D6A" w:rsidRDefault="009E40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Облік розрахунків з оплати праці та страхування у лісових господарствах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9" w:type="dxa"/>
          </w:tcPr>
          <w:p w:rsidR="009E40C7" w:rsidRPr="007A0D6A" w:rsidRDefault="00210CF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Облік витрат </w:t>
            </w:r>
            <w:r w:rsidR="009E40C7" w:rsidRPr="007A0D6A">
              <w:rPr>
                <w:sz w:val="28"/>
                <w:szCs w:val="28"/>
              </w:rPr>
              <w:t>діяльності лісових господарств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9" w:type="dxa"/>
          </w:tcPr>
          <w:p w:rsidR="009E40C7" w:rsidRPr="007A0D6A" w:rsidRDefault="00F43470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bCs/>
                <w:sz w:val="28"/>
                <w:szCs w:val="28"/>
              </w:rPr>
              <w:t xml:space="preserve">Облік доходів та фінансових результатів </w:t>
            </w:r>
            <w:r w:rsidRPr="007A0D6A">
              <w:rPr>
                <w:sz w:val="28"/>
                <w:szCs w:val="28"/>
              </w:rPr>
              <w:t>лісових господарств</w:t>
            </w:r>
          </w:p>
        </w:tc>
      </w:tr>
      <w:tr w:rsidR="009E40C7" w:rsidRPr="007A0D6A" w:rsidTr="008C67F7">
        <w:trPr>
          <w:trHeight w:val="263"/>
        </w:trPr>
        <w:tc>
          <w:tcPr>
            <w:tcW w:w="1242" w:type="dxa"/>
          </w:tcPr>
          <w:p w:rsidR="009E40C7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9" w:type="dxa"/>
          </w:tcPr>
          <w:p w:rsidR="009E40C7" w:rsidRPr="007A0D6A" w:rsidRDefault="00CB09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Оподаткування підприємств лісового господарства</w:t>
            </w:r>
          </w:p>
        </w:tc>
      </w:tr>
      <w:tr w:rsidR="00F43470" w:rsidRPr="007A0D6A" w:rsidTr="008C67F7">
        <w:trPr>
          <w:trHeight w:val="263"/>
        </w:trPr>
        <w:tc>
          <w:tcPr>
            <w:tcW w:w="1242" w:type="dxa"/>
          </w:tcPr>
          <w:p w:rsidR="00F43470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9" w:type="dxa"/>
          </w:tcPr>
          <w:p w:rsidR="00F43470" w:rsidRPr="007A0D6A" w:rsidRDefault="00CB09C7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7A0D6A">
              <w:rPr>
                <w:sz w:val="28"/>
                <w:szCs w:val="28"/>
              </w:rPr>
              <w:t>Порядок обчислення та обліку рентної плата за спеціальне використання лісових ресурсів</w:t>
            </w:r>
          </w:p>
        </w:tc>
      </w:tr>
      <w:tr w:rsidR="00F43470" w:rsidRPr="007A0D6A" w:rsidTr="008C67F7">
        <w:trPr>
          <w:trHeight w:val="263"/>
        </w:trPr>
        <w:tc>
          <w:tcPr>
            <w:tcW w:w="1242" w:type="dxa"/>
          </w:tcPr>
          <w:p w:rsidR="00F43470" w:rsidRPr="007A0D6A" w:rsidRDefault="00CB09C7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A0D6A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89" w:type="dxa"/>
          </w:tcPr>
          <w:p w:rsidR="00F43470" w:rsidRPr="007A0D6A" w:rsidRDefault="009C0B78" w:rsidP="007A0D6A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B09C7" w:rsidRPr="007A0D6A">
              <w:rPr>
                <w:sz w:val="28"/>
                <w:szCs w:val="28"/>
              </w:rPr>
              <w:t>вітність підприємств лісового господарства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Default="00625EF8" w:rsidP="008C67F7">
      <w:pPr>
        <w:tabs>
          <w:tab w:val="left" w:pos="10632"/>
        </w:tabs>
        <w:spacing w:before="89"/>
        <w:ind w:left="753" w:right="589"/>
        <w:jc w:val="center"/>
        <w:rPr>
          <w:b/>
          <w:sz w:val="28"/>
        </w:rPr>
      </w:pPr>
      <w:r>
        <w:rPr>
          <w:b/>
          <w:color w:val="622423"/>
          <w:sz w:val="28"/>
        </w:rPr>
        <w:t>ОСВІТНІ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ТЕХНОЛОГІЇ,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ФОРМИ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ТА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МЕТОДИ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D169C6">
      <w:pPr>
        <w:pStyle w:val="1"/>
        <w:tabs>
          <w:tab w:val="left" w:pos="10348"/>
        </w:tabs>
        <w:ind w:left="1134" w:right="608" w:firstLine="426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 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D169C6">
      <w:pPr>
        <w:pStyle w:val="a3"/>
        <w:tabs>
          <w:tab w:val="left" w:pos="10632"/>
        </w:tabs>
        <w:ind w:left="1134" w:right="608" w:firstLine="426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8C67F7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625EF8">
        <w:rPr>
          <w:color w:val="006FBF"/>
          <w:spacing w:val="1"/>
          <w:sz w:val="28"/>
        </w:rPr>
        <w:t xml:space="preserve"> </w:t>
      </w:r>
      <w:hyperlink r:id="rId8">
        <w:r w:rsidR="00625EF8">
          <w:rPr>
            <w:color w:val="006FBF"/>
            <w:sz w:val="28"/>
            <w:u w:val="single" w:color="006FBF"/>
          </w:rPr>
          <w:t>https://www.chnu.edu.ua/media/jxdbs0zb/etychnyi-kodeks-chernivets</w:t>
        </w:r>
      </w:hyperlink>
      <w:r w:rsidR="00625EF8">
        <w:rPr>
          <w:color w:val="006FBF"/>
          <w:spacing w:val="1"/>
          <w:sz w:val="28"/>
        </w:rPr>
        <w:t xml:space="preserve"> </w:t>
      </w:r>
      <w:hyperlink r:id="rId9">
        <w:r w:rsidR="00625EF8">
          <w:rPr>
            <w:color w:val="006FBF"/>
            <w:sz w:val="28"/>
            <w:u w:val="single" w:color="006FBF"/>
          </w:rPr>
          <w:t xml:space="preserve">koho-natsionalnoho-universytetu.pdf </w:t>
        </w:r>
      </w:hyperlink>
      <w:r w:rsidR="00625EF8">
        <w:rPr>
          <w:sz w:val="28"/>
        </w:rPr>
        <w:t>;</w:t>
      </w:r>
    </w:p>
    <w:p w:rsidR="00682327" w:rsidRPr="00565CE1" w:rsidRDefault="00DD30E7" w:rsidP="008C67F7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left="1418" w:right="467" w:hanging="284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625EF8" w:rsidRPr="00565CE1">
        <w:rPr>
          <w:color w:val="006FBF"/>
          <w:sz w:val="28"/>
        </w:rPr>
        <w:t xml:space="preserve"> </w:t>
      </w:r>
      <w:hyperlink r:id="rId10">
        <w:r w:rsidR="00625EF8" w:rsidRPr="00565CE1">
          <w:rPr>
            <w:color w:val="006FBF"/>
            <w:sz w:val="28"/>
            <w:u w:val="single" w:color="006FBF"/>
          </w:rPr>
          <w:t>https://www.chnu.edu.ua/media/n5nbzwgb/polozhennia-chnu-pro-</w:t>
        </w:r>
      </w:hyperlink>
      <w:r w:rsidR="00625EF8" w:rsidRPr="00565CE1">
        <w:rPr>
          <w:color w:val="006FBF"/>
          <w:spacing w:val="1"/>
          <w:sz w:val="28"/>
        </w:rPr>
        <w:t xml:space="preserve"> </w:t>
      </w:r>
      <w:hyperlink r:id="rId11">
        <w:proofErr w:type="spellStart"/>
        <w:r w:rsidR="00625EF8" w:rsidRPr="00565CE1">
          <w:rPr>
            <w:color w:val="006FBF"/>
            <w:sz w:val="28"/>
            <w:u w:val="single" w:color="006FBF"/>
          </w:rPr>
          <w:t>plah</w:t>
        </w:r>
      </w:hyperlink>
      <w:r w:rsidR="00625EF8" w:rsidRPr="00565CE1">
        <w:rPr>
          <w:color w:val="006FBF"/>
          <w:sz w:val="28"/>
          <w:u w:val="single" w:color="006FBF"/>
        </w:rPr>
        <w:t>i</w:t>
      </w:r>
      <w:proofErr w:type="spellEnd"/>
      <w:r w:rsidR="00625EF8" w:rsidRPr="00565CE1">
        <w:rPr>
          <w:color w:val="006FBF"/>
          <w:sz w:val="28"/>
          <w:u w:val="single" w:color="006FBF"/>
        </w:rPr>
        <w:t xml:space="preserve"> at-2023plusdodatky-31102023.pdf</w:t>
      </w:r>
      <w:r w:rsidR="00625EF8" w:rsidRPr="00565CE1">
        <w:rPr>
          <w:color w:val="006FBF"/>
          <w:sz w:val="28"/>
        </w:rPr>
        <w:t xml:space="preserve"> </w:t>
      </w:r>
      <w:r w:rsidR="00625EF8" w:rsidRPr="00565CE1">
        <w:rPr>
          <w:sz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9C0B78" w:rsidRPr="00962D44" w:rsidRDefault="009C0B78" w:rsidP="009C0B78">
      <w:pPr>
        <w:tabs>
          <w:tab w:val="left" w:pos="142"/>
          <w:tab w:val="left" w:pos="993"/>
          <w:tab w:val="left" w:pos="1134"/>
          <w:tab w:val="left" w:pos="1418"/>
        </w:tabs>
        <w:spacing w:line="360" w:lineRule="auto"/>
        <w:jc w:val="both"/>
        <w:rPr>
          <w:b/>
          <w:bCs/>
          <w:sz w:val="24"/>
        </w:rPr>
      </w:pPr>
    </w:p>
    <w:p w:rsidR="009C0B78" w:rsidRPr="00DA45BA" w:rsidRDefault="009C0B78" w:rsidP="009C0B78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</w:tabs>
        <w:spacing w:before="0"/>
        <w:ind w:left="851" w:right="4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A45BA">
        <w:rPr>
          <w:rFonts w:ascii="Times New Roman" w:hAnsi="Times New Roman" w:cs="Times New Roman"/>
          <w:color w:val="auto"/>
          <w:sz w:val="28"/>
          <w:szCs w:val="28"/>
        </w:rPr>
        <w:t xml:space="preserve">Офіційний сайт Верховної Ради України. URL:  </w:t>
      </w:r>
      <w:hyperlink r:id="rId12" w:history="1">
        <w:r w:rsidRPr="00DA45BA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Державного  агентства лісових ресурсів України. URL: </w:t>
      </w:r>
      <w:hyperlink r:id="rId13" w:history="1">
        <w:r w:rsidRPr="00DA45BA">
          <w:rPr>
            <w:rStyle w:val="a5"/>
            <w:sz w:val="28"/>
            <w:szCs w:val="28"/>
          </w:rPr>
          <w:t>https://forest.gov.ua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/>
        <w:autoSpaceDN/>
        <w:ind w:left="851" w:right="467" w:firstLine="283"/>
        <w:jc w:val="both"/>
        <w:rPr>
          <w:caps/>
          <w:spacing w:val="-4"/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4" w:history="1">
        <w:r w:rsidRPr="00DA45BA">
          <w:rPr>
            <w:rStyle w:val="a5"/>
            <w:sz w:val="28"/>
            <w:szCs w:val="28"/>
          </w:rPr>
          <w:t>http://tax.gov.ua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5" w:history="1">
        <w:r w:rsidRPr="00DA45BA">
          <w:rPr>
            <w:rStyle w:val="a5"/>
            <w:sz w:val="28"/>
            <w:szCs w:val="28"/>
          </w:rPr>
          <w:t>https://ukrstat.gov.ua/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>Офіційний са</w:t>
      </w:r>
      <w:r w:rsidR="00962D44">
        <w:rPr>
          <w:sz w:val="28"/>
          <w:szCs w:val="28"/>
        </w:rPr>
        <w:t>йт електронної бібліотеки. URL:</w:t>
      </w:r>
      <w:r w:rsidRPr="00DA45BA">
        <w:rPr>
          <w:sz w:val="28"/>
          <w:szCs w:val="28"/>
        </w:rPr>
        <w:t xml:space="preserve"> </w:t>
      </w:r>
      <w:hyperlink r:id="rId16" w:history="1">
        <w:r w:rsidRPr="00DA45BA">
          <w:rPr>
            <w:rStyle w:val="a5"/>
            <w:sz w:val="28"/>
            <w:szCs w:val="28"/>
          </w:rPr>
          <w:t>https://lib.imzo.gov.ua/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418"/>
        </w:tabs>
        <w:adjustRightInd w:val="0"/>
        <w:ind w:left="851" w:right="467" w:firstLine="283"/>
        <w:jc w:val="both"/>
        <w:rPr>
          <w:sz w:val="28"/>
          <w:szCs w:val="28"/>
          <w:lang w:eastAsia="uk-UA"/>
        </w:rPr>
      </w:pPr>
      <w:r w:rsidRPr="00DA45BA">
        <w:rPr>
          <w:sz w:val="28"/>
          <w:szCs w:val="28"/>
        </w:rPr>
        <w:t>Офіційний сайт Міністерств</w:t>
      </w:r>
      <w:r w:rsidR="00962D44">
        <w:rPr>
          <w:sz w:val="28"/>
          <w:szCs w:val="28"/>
        </w:rPr>
        <w:t xml:space="preserve">а інфраструктури України. URL: </w:t>
      </w:r>
      <w:hyperlink r:id="rId17" w:history="1">
        <w:r w:rsidRPr="00DA45BA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9C0B78">
      <w:pPr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autoSpaceDE/>
        <w:autoSpaceDN/>
        <w:ind w:left="851" w:right="467" w:firstLine="283"/>
        <w:jc w:val="both"/>
        <w:rPr>
          <w:caps/>
          <w:spacing w:val="-4"/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Міністерства фінансів України. URL:  </w:t>
      </w:r>
      <w:hyperlink r:id="rId18" w:history="1">
        <w:r w:rsidRPr="00DA45BA">
          <w:rPr>
            <w:rStyle w:val="a5"/>
            <w:sz w:val="28"/>
            <w:szCs w:val="28"/>
          </w:rPr>
          <w:t>https://mof.gov.ua</w:t>
        </w:r>
      </w:hyperlink>
    </w:p>
    <w:p w:rsidR="009C0B78" w:rsidRPr="00DA45BA" w:rsidRDefault="009C0B78" w:rsidP="009C0B78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418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Національної бібліотеки України </w:t>
      </w:r>
      <w:proofErr w:type="spellStart"/>
      <w:r w:rsidRPr="00DA45BA">
        <w:rPr>
          <w:sz w:val="28"/>
          <w:szCs w:val="28"/>
        </w:rPr>
        <w:t>ім.В.І</w:t>
      </w:r>
      <w:proofErr w:type="spellEnd"/>
      <w:r w:rsidRPr="00DA45BA">
        <w:rPr>
          <w:sz w:val="28"/>
          <w:szCs w:val="28"/>
        </w:rPr>
        <w:t xml:space="preserve">. Вернадського. URL: </w:t>
      </w:r>
      <w:hyperlink r:id="rId19" w:history="1">
        <w:r w:rsidRPr="00DA45BA">
          <w:rPr>
            <w:rStyle w:val="a5"/>
            <w:sz w:val="28"/>
            <w:szCs w:val="28"/>
          </w:rPr>
          <w:t>www.nbuv.gov.ua</w:t>
        </w:r>
      </w:hyperlink>
      <w:r w:rsidRPr="00DA45BA">
        <w:rPr>
          <w:sz w:val="28"/>
          <w:szCs w:val="28"/>
        </w:rPr>
        <w:t xml:space="preserve"> </w:t>
      </w:r>
    </w:p>
    <w:p w:rsidR="009C0B78" w:rsidRPr="00DA45BA" w:rsidRDefault="009C0B78" w:rsidP="0070487B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</w:tabs>
        <w:autoSpaceDE/>
        <w:autoSpaceDN/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урядового порталу Кабінету Міністрів України. URL:  </w:t>
      </w:r>
      <w:hyperlink r:id="rId20" w:history="1">
        <w:r w:rsidRPr="00DA45BA">
          <w:rPr>
            <w:rStyle w:val="a5"/>
            <w:sz w:val="28"/>
            <w:szCs w:val="28"/>
          </w:rPr>
          <w:t>https://www.kmu.gov.ua/</w:t>
        </w:r>
      </w:hyperlink>
      <w:r w:rsidRPr="00DA45BA">
        <w:rPr>
          <w:sz w:val="28"/>
          <w:szCs w:val="28"/>
        </w:rPr>
        <w:t xml:space="preserve"> </w:t>
      </w:r>
    </w:p>
    <w:p w:rsidR="00962D44" w:rsidRPr="00962D44" w:rsidRDefault="009C0B78" w:rsidP="00962D44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</w:tabs>
        <w:ind w:left="851" w:right="467" w:firstLine="283"/>
        <w:jc w:val="both"/>
        <w:rPr>
          <w:sz w:val="28"/>
          <w:szCs w:val="28"/>
        </w:rPr>
      </w:pPr>
      <w:r w:rsidRPr="00DA45BA">
        <w:rPr>
          <w:sz w:val="28"/>
          <w:szCs w:val="28"/>
        </w:rPr>
        <w:t xml:space="preserve">Офіційний сайт Федерації професійних бухгалтерів і аудиторів України URL: </w:t>
      </w:r>
      <w:hyperlink r:id="rId21" w:history="1">
        <w:r w:rsidRPr="00DA45BA">
          <w:rPr>
            <w:sz w:val="28"/>
            <w:szCs w:val="28"/>
          </w:rPr>
          <w:t>www.ufpaa.org</w:t>
        </w:r>
      </w:hyperlink>
      <w:r w:rsidR="00962D44">
        <w:rPr>
          <w:sz w:val="28"/>
          <w:szCs w:val="28"/>
        </w:rPr>
        <w:t>.</w:t>
      </w:r>
    </w:p>
    <w:p w:rsidR="00AF7B76" w:rsidRPr="0091394E" w:rsidRDefault="00AF7B76" w:rsidP="00AC7D6B">
      <w:pPr>
        <w:tabs>
          <w:tab w:val="left" w:pos="1701"/>
        </w:tabs>
        <w:ind w:left="709" w:right="608" w:firstLine="567"/>
      </w:pPr>
    </w:p>
    <w:p w:rsidR="00682327" w:rsidRPr="00AF7B76" w:rsidRDefault="00625EF8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  <w:r>
        <w:rPr>
          <w:b/>
          <w:i/>
          <w:color w:val="622423"/>
          <w:sz w:val="28"/>
        </w:rPr>
        <w:t>Детальна інформація щодо вивчення курсу «</w:t>
      </w:r>
      <w:r w:rsidR="00C876FA">
        <w:rPr>
          <w:b/>
          <w:i/>
          <w:color w:val="622423"/>
          <w:sz w:val="28"/>
        </w:rPr>
        <w:t>Облік і оподаткування діяльності лісових господарств</w:t>
      </w:r>
      <w:r>
        <w:rPr>
          <w:b/>
          <w:i/>
          <w:color w:val="622423"/>
          <w:sz w:val="28"/>
        </w:rPr>
        <w:t>»</w:t>
      </w:r>
      <w:r w:rsidR="00AF7B76">
        <w:rPr>
          <w:b/>
          <w:i/>
          <w:color w:val="622423"/>
          <w:sz w:val="28"/>
        </w:rPr>
        <w:t xml:space="preserve"> </w:t>
      </w:r>
      <w:r>
        <w:rPr>
          <w:b/>
          <w:i/>
          <w:color w:val="622423"/>
          <w:spacing w:val="-68"/>
          <w:sz w:val="28"/>
        </w:rPr>
        <w:t xml:space="preserve"> </w:t>
      </w:r>
      <w:r w:rsidR="00AF7B76">
        <w:rPr>
          <w:b/>
          <w:i/>
          <w:color w:val="622423"/>
          <w:spacing w:val="-68"/>
          <w:sz w:val="28"/>
        </w:rPr>
        <w:t xml:space="preserve">   </w:t>
      </w:r>
      <w:r>
        <w:rPr>
          <w:b/>
          <w:i/>
          <w:color w:val="622423"/>
          <w:sz w:val="28"/>
        </w:rPr>
        <w:t>висвітлена у робочій програмі</w:t>
      </w:r>
      <w:r>
        <w:rPr>
          <w:b/>
          <w:i/>
          <w:color w:val="622423"/>
          <w:spacing w:val="1"/>
          <w:sz w:val="28"/>
        </w:rPr>
        <w:t xml:space="preserve"> </w:t>
      </w:r>
      <w:r>
        <w:rPr>
          <w:b/>
          <w:i/>
          <w:color w:val="622423"/>
          <w:sz w:val="28"/>
        </w:rPr>
        <w:t>навчальної дисципліни</w:t>
      </w:r>
    </w:p>
    <w:p w:rsidR="00AF7B76" w:rsidRPr="00AF7B76" w:rsidRDefault="00AF7B76" w:rsidP="00AC7D6B">
      <w:pPr>
        <w:pStyle w:val="a4"/>
        <w:tabs>
          <w:tab w:val="left" w:pos="0"/>
        </w:tabs>
        <w:ind w:left="0" w:right="608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AF7B7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16673C"/>
    <w:rsid w:val="001D1B87"/>
    <w:rsid w:val="001E4411"/>
    <w:rsid w:val="00210CF7"/>
    <w:rsid w:val="00224A3E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547D5F"/>
    <w:rsid w:val="005523E1"/>
    <w:rsid w:val="00565CE1"/>
    <w:rsid w:val="00571748"/>
    <w:rsid w:val="00581E83"/>
    <w:rsid w:val="005873CD"/>
    <w:rsid w:val="00591725"/>
    <w:rsid w:val="005A379A"/>
    <w:rsid w:val="005C687D"/>
    <w:rsid w:val="00625EF8"/>
    <w:rsid w:val="00665238"/>
    <w:rsid w:val="00682327"/>
    <w:rsid w:val="006F6AC9"/>
    <w:rsid w:val="0070487B"/>
    <w:rsid w:val="007A0D6A"/>
    <w:rsid w:val="008455C3"/>
    <w:rsid w:val="00890474"/>
    <w:rsid w:val="008C67F7"/>
    <w:rsid w:val="00900551"/>
    <w:rsid w:val="00951771"/>
    <w:rsid w:val="00962D44"/>
    <w:rsid w:val="00977572"/>
    <w:rsid w:val="0098325D"/>
    <w:rsid w:val="009C0B78"/>
    <w:rsid w:val="009E40C7"/>
    <w:rsid w:val="00A90623"/>
    <w:rsid w:val="00AA0266"/>
    <w:rsid w:val="00AC7D6B"/>
    <w:rsid w:val="00AF7B76"/>
    <w:rsid w:val="00B40212"/>
    <w:rsid w:val="00B91AEC"/>
    <w:rsid w:val="00BA0596"/>
    <w:rsid w:val="00C329BE"/>
    <w:rsid w:val="00C876FA"/>
    <w:rsid w:val="00CB09C7"/>
    <w:rsid w:val="00CF347C"/>
    <w:rsid w:val="00D0472B"/>
    <w:rsid w:val="00D169C6"/>
    <w:rsid w:val="00D37DB1"/>
    <w:rsid w:val="00D60D71"/>
    <w:rsid w:val="00DA3B97"/>
    <w:rsid w:val="00DA45BA"/>
    <w:rsid w:val="00DD30E7"/>
    <w:rsid w:val="00DE5561"/>
    <w:rsid w:val="00E04F68"/>
    <w:rsid w:val="00ED0189"/>
    <w:rsid w:val="00EE783D"/>
    <w:rsid w:val="00F43470"/>
    <w:rsid w:val="00F576E8"/>
    <w:rsid w:val="00F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2B76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forest.gov.ua" TargetMode="External"/><Relationship Id="rId18" Type="http://schemas.openxmlformats.org/officeDocument/2006/relationships/hyperlink" Target="https://mof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fpaa.org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kmu.gov.ua/catalog/ministerstvo-infrastrukturi-ukrai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mzo.gov.ua/" TargetMode="External"/><Relationship Id="rId20" Type="http://schemas.openxmlformats.org/officeDocument/2006/relationships/hyperlink" Target="https://www.kmu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dlayeva-nataliya-viktorivna" TargetMode="External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rstat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2024-08-18T08:05:00Z</dcterms:created>
  <dcterms:modified xsi:type="dcterms:W3CDTF">2024-09-08T18:56:00Z</dcterms:modified>
</cp:coreProperties>
</file>