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89" w:line="320" w:lineRule="auto"/>
        <w:ind w:firstLine="753"/>
        <w:rPr/>
      </w:pPr>
      <w:r w:rsidDel="00000000" w:rsidR="00000000" w:rsidRPr="00000000">
        <w:rPr>
          <w:color w:val="622423"/>
          <w:rtl w:val="0"/>
        </w:rPr>
        <w:t xml:space="preserve">СИЛАБУС НАВЧАЛЬНОЇ ДИСЦИПЛІНИ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64790</wp:posOffset>
            </wp:positionH>
            <wp:positionV relativeFrom="paragraph">
              <wp:posOffset>-133983</wp:posOffset>
            </wp:positionV>
            <wp:extent cx="1083038" cy="1165093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3038" cy="11650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line="462" w:lineRule="auto"/>
        <w:ind w:left="753" w:right="589" w:firstLine="0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color w:val="622423"/>
          <w:sz w:val="40"/>
          <w:szCs w:val="40"/>
          <w:vertAlign w:val="baseline"/>
          <w:rtl w:val="0"/>
        </w:rPr>
        <w:t xml:space="preserve">«</w:t>
      </w:r>
      <w:r w:rsidDel="00000000" w:rsidR="00000000" w:rsidRPr="00000000">
        <w:rPr>
          <w:b w:val="1"/>
          <w:bCs w:val="1"/>
          <w:color w:val="622423"/>
          <w:sz w:val="28"/>
          <w:szCs w:val="28"/>
          <w:rtl w:val="0"/>
        </w:rPr>
        <w:t xml:space="preserve">БУХГАЛТЕРСЬКИЙ ФІНАНСОВИЙ ОБЛІК</w:t>
      </w:r>
      <w:r w:rsidDel="00000000" w:rsidR="00000000" w:rsidRPr="00000000">
        <w:rPr>
          <w:b w:val="1"/>
          <w:bCs w:val="1"/>
          <w:color w:val="622423"/>
          <w:sz w:val="40"/>
          <w:szCs w:val="40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22" w:lineRule="auto"/>
        <w:ind w:left="753" w:right="589" w:firstLine="0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Компонента освітньої програми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– 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обов’язкова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(5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кредитів</w:t>
      </w:r>
      <w:r w:rsidDel="00000000" w:rsidR="00000000" w:rsidRPr="00000000">
        <w:rPr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10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510"/>
        <w:gridCol w:w="5390"/>
        <w:tblGridChange w:id="0">
          <w:tblGrid>
            <w:gridCol w:w="4510"/>
            <w:gridCol w:w="5390"/>
          </w:tblGrid>
        </w:tblGridChange>
      </w:tblGrid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Освітньо-професійна програма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Фінанси, банківська справа та страхування </w:t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" w:lineRule="auto"/>
              <w:ind w:left="105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072 Фінанси, банківська справа, страхування та фондовий ринок</w:t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Галузь знань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07 Управління та адміністрування</w:t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Рівень вищої освіти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перший (бакалаврський)</w:t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Мова навчання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</w:t>
            </w:r>
          </w:p>
        </w:tc>
      </w:tr>
      <w:tr>
        <w:trPr>
          <w:cantSplit w:val="0"/>
          <w:trHeight w:val="128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9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Профайл викладача (-ів)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2810"/>
              </w:tabs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2" w:lineRule="auto"/>
              <w:ind w:left="105" w:right="25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Кудлаєва Наталія Вікторівна – кандидат економічних наук, асистент кафедри обліку, аналізу і аудиту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6fb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https://accounting.chnu.edu.ua/pro-nas/kolektyv/kudlaieva-natalia-viktorivna/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6fb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Контактний тел.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+380507366186</w:t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n.kudlaeva@chnu.edu.ua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Сторінка курсу в Moodle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https://moodle.chnu.edu.ua/course/view.php?id=3995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Консультації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середа з 11.00 до 13.00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spacing w:before="89" w:lineRule="auto"/>
        <w:ind w:firstLine="753"/>
        <w:rPr/>
      </w:pPr>
      <w:r w:rsidDel="00000000" w:rsidR="00000000" w:rsidRPr="00000000">
        <w:rPr>
          <w:color w:val="622423"/>
          <w:rtl w:val="0"/>
        </w:rPr>
        <w:t xml:space="preserve">АНОТАЦІЯ НАВЧАЛЬНОЇ ДИСЦИПЛІНИ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2" w:right="465" w:firstLine="283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Навчальна дисципліна «Бухгалтерський фінансовий облік» спрямована на забезпечення процесу формування у здобувачів компетенцій щодо порядку відображення фактів господарської діяльності підприємства та узагальнення показників його економічної діяльності, які використовують у своїй роботі фінансисти та власники бізнесу в процесі управління.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2" w:right="465" w:firstLine="283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 навчальної дисципліни: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сформувати систему знань з теорії та основ практики ведення бухгалтерського фінансового обліку на підприємствах, ознайомлення  здобувачів з «азами» бухгалтерської професії (предмет і об’єкти обліку, ведення рахунків і подвійного запису господарських операцій, їх документування, інвентаризація, оцінка, калькуляція, баланс та звітність); сформувати у здобувачів комплексний науковий підхід до аналізу господарських явищ і процесів придбання, виробництва, реалізації кінцевого продукту, відображення їх в обліку та визначення фінансових результатів, складання та аудиту фінансової звітності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ind w:left="993" w:right="467" w:firstLine="283"/>
        <w:jc w:val="both"/>
        <w:rPr>
          <w:color w:val="ff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Навчальна дисципліна «Бухгалтерський фінансовий облік» відповідно до структурно-логічної схеми освітньо-професійної програми слухається здобувачами освіти у п’ятому семестрі третього року навчання. Впродовж І-ІІ курсів здобувачі опанували такі дисципліни як «Економічна теорія», «Мікроекономіка», «Макроекономіка», «Статистика», «Гроші кредит», «Фінанси», «Банківська система», «Фінанси підприємств», що є значним підгрунтям для вивчення  дисципліни «Бухгалтерський фінансовий облік». Паралельно викладаються дисципліни «Податкова система», «Страхування», «Банківські операції і технології». Вивчення дисципліни «Бухгалтерський фінансовий облік» є основою для засвоєння інших обов’язкових дисциплін, зокрема «Бюджетна система», «Адміністрування податків», «Соціальне страхування», «Фінансовий аналіз», «Фінансування малого бізнесу та стартапів», «Інвестування», «Фінансова діяльність суб’єктів господарювання», а також частково є підґрунтям для проходження виробничої практики і підготовки кваліфікаційної роботи.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8" w:right="467" w:firstLine="708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spacing w:before="1" w:lineRule="auto"/>
        <w:ind w:right="467" w:firstLine="753"/>
        <w:rPr/>
      </w:pPr>
      <w:r w:rsidDel="00000000" w:rsidR="00000000" w:rsidRPr="00000000">
        <w:rPr>
          <w:color w:val="622423"/>
          <w:rtl w:val="0"/>
        </w:rPr>
        <w:t xml:space="preserve">НАВЧАЛЬНИЙ КОНТЕНТ ОСВІТНЬОЇ КОМПОНЕНТИ</w:t>
      </w: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900" w:tblpY="1"/>
        <w:tblW w:w="101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242"/>
        <w:gridCol w:w="8899"/>
        <w:tblGridChange w:id="0">
          <w:tblGrid>
            <w:gridCol w:w="1242"/>
            <w:gridCol w:w="8899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МОДУЛЬ 1.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ЗАГАЛЬНОТЕОРЕТИЧНІ ОСНОВИ БУХГАЛТЕРСЬКОГО ФІНАНСОВОГО ОБЛІКУ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Загальна  характеристика бухгалтерського обліку, його предмет і метод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2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Бухгалтерський баланс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3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Рахунки бухгалтерського обліку і подвійний запис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4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Оцінювання та калькулювання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5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9"/>
                <w:tab w:val="left" w:leader="none" w:pos="3254"/>
                <w:tab w:val="left" w:leader="none" w:pos="5079"/>
                <w:tab w:val="left" w:leader="none" w:pos="6054"/>
                <w:tab w:val="left" w:leader="none" w:pos="7014"/>
                <w:tab w:val="left" w:leader="none" w:pos="800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Документація та інвентаризація, техніка і форми бухгалтерського обліку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МОДУЛЬ 2.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ОБЛІК АКТИВІВ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6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Облік основних засобів, інших необоротних матеріальних активів та нематеріальних активів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7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1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Облік запасів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24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8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Облік грошових коштів і дебіторської заборгованості 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24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9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Облік фінансових інвестицій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МОДУЛЬ 3. </w:t>
            </w:r>
            <w:r w:rsidDel="00000000" w:rsidR="00000000" w:rsidRPr="00000000">
              <w:rPr>
                <w:b w:val="1"/>
                <w:bCs w:val="1"/>
                <w:smallCaps w:val="1"/>
                <w:sz w:val="28"/>
                <w:szCs w:val="28"/>
                <w:rtl w:val="0"/>
              </w:rPr>
              <w:t xml:space="preserve">ОБЛІК ЗОБОВ’ЯЗАНЬ, ВЛАСНОГО КАПІТАЛУ, ДОХОДІВ, ВИТРАТ ТА ФІНАНСОВИХ РЕЗУЛЬТАТІВ. ФІНАНСОВА ЗВІТНІСТЬ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10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10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1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Облік власного капіталу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10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11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Облік зобов’язань 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10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12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1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Облік праці, її оплати та соціального страхування персоналу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10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13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1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Облік витрат діяльності підприємства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10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14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1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Облік доходів і фінансових результатів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10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15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1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Фінансова звітність та її аудит</w:t>
            </w:r>
          </w:p>
        </w:tc>
      </w:tr>
    </w:tbl>
    <w:p w:rsidR="00000000" w:rsidDel="00000000" w:rsidP="00000000" w:rsidRDefault="00000000" w:rsidRPr="00000000" w14:paraId="0000004A">
      <w:pPr>
        <w:spacing w:line="31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1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1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1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1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1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1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1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1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1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1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1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1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1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1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1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1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1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1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1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1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1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1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89" w:lineRule="auto"/>
        <w:ind w:left="753" w:right="589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color w:val="622423"/>
          <w:sz w:val="28"/>
          <w:szCs w:val="28"/>
          <w:rtl w:val="0"/>
        </w:rPr>
        <w:t xml:space="preserve">ФОРМИ, МЕТОДИ ТА ОСВІТНІ ТЕХНОЛОГІЇ НАВЧАННЯ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8" w:right="833" w:firstLine="708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студентоцентрованого навчання; проєктна діяльність; традиційні та інтерактивні форми і методи навчання, серед яких: лекція-візуалізація, проблемна лекція, семінар-дискусія, семінар-діалог, самостійно-дослідницька робота, аналіз і рішення ситуативних професійних психолого-педагогічних задач (Case study) та ін.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ind w:firstLine="753"/>
        <w:rPr/>
      </w:pPr>
      <w:r w:rsidDel="00000000" w:rsidR="00000000" w:rsidRPr="00000000">
        <w:rPr>
          <w:color w:val="622423"/>
          <w:rtl w:val="0"/>
        </w:rPr>
        <w:t xml:space="preserve">ФОРМИ Й МЕТОДИ КОНТРОЛЮ ТА ОЦІНЮВАННЯ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8" w:right="833" w:firstLine="57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Поточний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усне та письмове опитування, тестування, есе, творча робота, проект, презентація та ін.</w:t>
      </w:r>
    </w:p>
    <w:p w:rsidR="00000000" w:rsidDel="00000000" w:rsidP="00000000" w:rsidRDefault="00000000" w:rsidRPr="00000000" w14:paraId="00000066">
      <w:pPr>
        <w:ind w:left="1574" w:firstLine="0"/>
        <w:rPr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Підсумковий контроль </w:t>
      </w:r>
      <w:r w:rsidDel="00000000" w:rsidR="00000000" w:rsidRPr="00000000">
        <w:rPr>
          <w:sz w:val="28"/>
          <w:szCs w:val="28"/>
          <w:rtl w:val="0"/>
        </w:rPr>
        <w:t xml:space="preserve">– екзамен.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8ua63bkh8iw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1"/>
        <w:ind w:firstLine="753"/>
        <w:rPr/>
      </w:pPr>
      <w:r w:rsidDel="00000000" w:rsidR="00000000" w:rsidRPr="00000000">
        <w:rPr>
          <w:color w:val="622423"/>
          <w:rtl w:val="0"/>
        </w:rPr>
        <w:t xml:space="preserve">КРИТЕРІЇ ОЦІНЮВАННЯ РЕЗУЛЬТАТІВ НАВЧАННЯ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52"/>
          <w:tab w:val="left" w:leader="none" w:pos="5153"/>
          <w:tab w:val="left" w:leader="none" w:pos="6760"/>
          <w:tab w:val="left" w:leader="none" w:pos="8125"/>
          <w:tab w:val="left" w:leader="none" w:pos="9652"/>
        </w:tabs>
        <w:spacing w:after="0" w:before="0" w:line="240" w:lineRule="auto"/>
        <w:ind w:left="998" w:right="833" w:firstLine="708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Оцінювання</w:t>
        <w:tab/>
        <w:t xml:space="preserve">програмних</w:t>
        <w:tab/>
        <w:t xml:space="preserve">результатів</w:t>
        <w:tab/>
        <w:t xml:space="preserve">навчання</w:t>
        <w:tab/>
        <w:t xml:space="preserve">здобувачів</w:t>
        <w:tab/>
        <w:t xml:space="preserve">освіти здійснюється за шкалою європейської кредитно-трансферної системи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24"/>
          <w:sz w:val="28"/>
          <w:szCs w:val="28"/>
          <w:u w:val="none"/>
          <w:shd w:fill="auto" w:val="clear"/>
          <w:vertAlign w:val="baseline"/>
          <w:rtl w:val="0"/>
        </w:rPr>
        <w:t xml:space="preserve">ECTS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ind w:left="1095" w:right="414" w:firstLine="0"/>
        <w:rPr/>
      </w:pPr>
      <w:r w:rsidDel="00000000" w:rsidR="00000000" w:rsidRPr="00000000">
        <w:rPr>
          <w:color w:val="622423"/>
          <w:rtl w:val="0"/>
        </w:rPr>
        <w:t xml:space="preserve">ПОЛІТИКА ЩОДО АКАДЕМІЧНОЇ ДОБРОЧЕСНОСТІ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2" w:lineRule="auto"/>
        <w:ind w:left="998" w:right="32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8"/>
          <w:tab w:val="left" w:leader="none" w:pos="2787"/>
          <w:tab w:val="left" w:leader="none" w:pos="3846"/>
          <w:tab w:val="left" w:leader="none" w:pos="5785"/>
          <w:tab w:val="left" w:leader="none" w:pos="7714"/>
          <w:tab w:val="left" w:leader="none" w:pos="9465"/>
          <w:tab w:val="left" w:leader="none" w:pos="10304"/>
        </w:tabs>
        <w:spacing w:after="0" w:before="0" w:line="242" w:lineRule="auto"/>
        <w:ind w:left="1358" w:right="325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«Етичний кодекс Чернівецького національного університету імені Юрія Федьковича».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https://www.chnu.edu.ua/universytet/normatyvni-dokumenty/etychnyi-kodeks-chernivetskoho-natsionalnoho-universytetu-imeni-yuriia-fedkovycha/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8"/>
          <w:tab w:val="left" w:leader="none" w:pos="3304"/>
          <w:tab w:val="left" w:leader="none" w:pos="3955"/>
          <w:tab w:val="left" w:leader="none" w:pos="3995"/>
          <w:tab w:val="left" w:leader="none" w:pos="5492"/>
          <w:tab w:val="left" w:leader="none" w:pos="6001"/>
          <w:tab w:val="left" w:leader="none" w:pos="6541"/>
          <w:tab w:val="left" w:leader="none" w:pos="7675"/>
          <w:tab w:val="left" w:leader="none" w:pos="8885"/>
          <w:tab w:val="left" w:leader="none" w:pos="9528"/>
          <w:tab w:val="left" w:leader="none" w:pos="10288"/>
          <w:tab w:val="left" w:leader="none" w:pos="10782"/>
        </w:tabs>
        <w:spacing w:after="0" w:before="0" w:line="242" w:lineRule="auto"/>
        <w:ind w:left="1358" w:right="325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«Положення про виявлення та запобігання академічного плагіату у Чернівецькому національному університету імені Юрія Федьковича».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6fbf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https://www.chnu.edu.ua/universytet/normatyvni-dokumenty/polozhennia-pro-vyiavlennia-ta-zapobihannia-akademichnomu-plahiatu-u-chernivetskomu-natsionalnomu-universyteti-imeni-yuriia-fedkovycha/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1"/>
        <w:ind w:left="1095" w:right="414" w:firstLine="0"/>
        <w:rPr/>
      </w:pPr>
      <w:r w:rsidDel="00000000" w:rsidR="00000000" w:rsidRPr="00000000">
        <w:rPr>
          <w:color w:val="622423"/>
          <w:rtl w:val="0"/>
        </w:rPr>
        <w:t xml:space="preserve">ІНФОРМАЦІЙНІ РЕСУРСИ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1"/>
        <w:numPr>
          <w:ilvl w:val="0"/>
          <w:numId w:val="2"/>
        </w:numPr>
        <w:tabs>
          <w:tab w:val="left" w:leader="none" w:pos="1134"/>
          <w:tab w:val="left" w:leader="none" w:pos="1276"/>
          <w:tab w:val="left" w:leader="none" w:pos="1701"/>
        </w:tabs>
        <w:ind w:left="709" w:right="608" w:firstLine="567"/>
        <w:jc w:val="both"/>
        <w:rPr>
          <w:smallCap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Офіційний сайт Асоціації дипломованих сертифікованих бухгалтерів (АССА). URL: </w:t>
      </w:r>
      <w:hyperlink r:id="rId13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https://www.accaglobal.com</w:t>
        </w:r>
      </w:hyperlink>
      <w:r w:rsidDel="00000000" w:rsidR="00000000" w:rsidRPr="00000000">
        <w:rPr>
          <w:color w:val="333333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5"/>
        <w:keepNext w:val="0"/>
        <w:keepLines w:val="0"/>
        <w:numPr>
          <w:ilvl w:val="0"/>
          <w:numId w:val="2"/>
        </w:numPr>
        <w:shd w:fill="ffffff" w:val="clear"/>
        <w:tabs>
          <w:tab w:val="left" w:leader="none" w:pos="-360"/>
          <w:tab w:val="left" w:leader="none" w:pos="142"/>
          <w:tab w:val="left" w:leader="none" w:pos="1134"/>
          <w:tab w:val="left" w:leader="none" w:pos="1276"/>
          <w:tab w:val="left" w:leader="none" w:pos="1418"/>
          <w:tab w:val="left" w:leader="none" w:pos="1701"/>
        </w:tabs>
        <w:spacing w:before="0" w:lineRule="auto"/>
        <w:ind w:left="709" w:right="608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Офіційний сайт Верховної Ради України. URL: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 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https://zakon.rada.gov.ua/laws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1"/>
        <w:numPr>
          <w:ilvl w:val="0"/>
          <w:numId w:val="2"/>
        </w:numPr>
        <w:tabs>
          <w:tab w:val="left" w:leader="none" w:pos="1134"/>
          <w:tab w:val="left" w:leader="none" w:pos="1276"/>
          <w:tab w:val="left" w:leader="none" w:pos="1701"/>
        </w:tabs>
        <w:ind w:left="709" w:right="608" w:firstLine="567"/>
        <w:jc w:val="both"/>
        <w:rPr>
          <w:smallCaps w:val="1"/>
          <w:color w:val="000000"/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Офіційний сайт Державної податкової служби України. URL: </w:t>
      </w:r>
      <w:hyperlink r:id="rId15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http://tax.gov.ua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tabs>
          <w:tab w:val="left" w:leader="none" w:pos="0"/>
          <w:tab w:val="left" w:leader="none" w:pos="142"/>
          <w:tab w:val="left" w:leader="none" w:pos="851"/>
          <w:tab w:val="left" w:leader="none" w:pos="1134"/>
          <w:tab w:val="left" w:leader="none" w:pos="1276"/>
          <w:tab w:val="left" w:leader="none" w:pos="1701"/>
        </w:tabs>
        <w:ind w:left="709" w:right="608"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Офіційний сайт Державної служби статистики України. URL: </w:t>
      </w:r>
      <w:hyperlink r:id="rId16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https://ukrstat.gov.ua/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tabs>
          <w:tab w:val="left" w:leader="none" w:pos="0"/>
          <w:tab w:val="left" w:leader="none" w:pos="142"/>
          <w:tab w:val="left" w:leader="none" w:pos="1134"/>
          <w:tab w:val="left" w:leader="none" w:pos="1276"/>
          <w:tab w:val="left" w:leader="none" w:pos="1701"/>
        </w:tabs>
        <w:ind w:left="709" w:right="608"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Офіційний сайт електронної бібліотеки. URL: </w:t>
      </w:r>
      <w:hyperlink r:id="rId1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https://lib.imzo.gov.ua/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hd w:fill="ffffff" w:val="clear"/>
        <w:tabs>
          <w:tab w:val="left" w:leader="none" w:pos="340"/>
          <w:tab w:val="left" w:leader="none" w:pos="1134"/>
          <w:tab w:val="left" w:leader="none" w:pos="1276"/>
          <w:tab w:val="left" w:leader="none" w:pos="1701"/>
        </w:tabs>
        <w:ind w:left="709" w:right="608"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Офіційний сайт Інституту сертифікованих бухгалтерів. URL: </w:t>
      </w:r>
      <w:hyperlink r:id="rId18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https://www.bookkeepers.org.uk/About-Us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hd w:fill="ffffff" w:val="clear"/>
        <w:tabs>
          <w:tab w:val="left" w:leader="none" w:pos="340"/>
          <w:tab w:val="left" w:leader="none" w:pos="1134"/>
          <w:tab w:val="left" w:leader="none" w:pos="1276"/>
          <w:tab w:val="left" w:leader="none" w:pos="1701"/>
        </w:tabs>
        <w:ind w:left="709" w:right="608"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Офіційний сайт Інституту фінансових бухгалтерів. URL: </w:t>
      </w:r>
      <w:hyperlink r:id="rId19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https://www.ifa.org.uk/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hd w:fill="ffffff" w:val="clear"/>
        <w:tabs>
          <w:tab w:val="left" w:leader="none" w:pos="340"/>
          <w:tab w:val="left" w:leader="none" w:pos="1134"/>
          <w:tab w:val="left" w:leader="none" w:pos="1276"/>
          <w:tab w:val="left" w:leader="none" w:pos="1701"/>
        </w:tabs>
        <w:ind w:left="709" w:right="608"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Офіційний сайт Міжнародної асоціації професійних бухгалтерів. URL: </w:t>
      </w:r>
      <w:r w:rsidDel="00000000" w:rsidR="00000000" w:rsidRPr="00000000">
        <w:rPr>
          <w:color w:val="0000ff"/>
          <w:sz w:val="28"/>
          <w:szCs w:val="28"/>
          <w:u w:val="single"/>
          <w:rtl w:val="0"/>
        </w:rPr>
        <w:t xml:space="preserve">https://www.accounting- URL: ukraine.kiev.ua/poslugi/iapa.htm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hd w:fill="ffffff" w:val="clear"/>
        <w:tabs>
          <w:tab w:val="left" w:leader="none" w:pos="340"/>
          <w:tab w:val="left" w:leader="none" w:pos="1134"/>
          <w:tab w:val="left" w:leader="none" w:pos="1276"/>
          <w:tab w:val="left" w:leader="none" w:pos="1701"/>
        </w:tabs>
        <w:ind w:left="709" w:right="608"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Офіційний сайт Міжнародної федерації бухгалтерів (МФБ). URL: </w:t>
      </w:r>
      <w:hyperlink r:id="rId20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https://www.ifac.org/</w:t>
        </w:r>
      </w:hyperlink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7A">
      <w:pPr>
        <w:widowControl w:val="1"/>
        <w:numPr>
          <w:ilvl w:val="0"/>
          <w:numId w:val="2"/>
        </w:numPr>
        <w:tabs>
          <w:tab w:val="left" w:leader="none" w:pos="1134"/>
          <w:tab w:val="left" w:leader="none" w:pos="1276"/>
          <w:tab w:val="left" w:leader="none" w:pos="1701"/>
        </w:tabs>
        <w:ind w:left="709" w:right="608" w:firstLine="567"/>
        <w:jc w:val="both"/>
        <w:rPr>
          <w:smallCap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Офіційний сайт Міністерства фінансів України. URL:  </w:t>
      </w:r>
      <w:hyperlink r:id="rId21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https://mof.gov.ua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1"/>
        <w:numPr>
          <w:ilvl w:val="0"/>
          <w:numId w:val="2"/>
        </w:numPr>
        <w:tabs>
          <w:tab w:val="left" w:leader="none" w:pos="1134"/>
          <w:tab w:val="left" w:leader="none" w:pos="1276"/>
          <w:tab w:val="left" w:leader="none" w:pos="1701"/>
        </w:tabs>
        <w:ind w:left="709" w:right="608" w:firstLine="567"/>
        <w:jc w:val="both"/>
        <w:rPr>
          <w:smallCap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Офіційний сайт Національного банку України. URL: </w:t>
      </w:r>
      <w:hyperlink r:id="rId22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https://bank.gov.ua</w:t>
        </w:r>
      </w:hyperlink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tabs>
          <w:tab w:val="left" w:leader="none" w:pos="0"/>
          <w:tab w:val="left" w:leader="none" w:pos="142"/>
          <w:tab w:val="left" w:leader="none" w:pos="1134"/>
          <w:tab w:val="left" w:leader="none" w:pos="1276"/>
          <w:tab w:val="left" w:leader="none" w:pos="1701"/>
        </w:tabs>
        <w:ind w:left="709" w:right="608"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Офіційний сайт Національної бібліотеки України ім. В.І. Вернадського. URL: </w:t>
      </w:r>
      <w:hyperlink r:id="rId23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www.nbuv.gov.ua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shd w:fill="ffffff" w:val="clear"/>
        <w:tabs>
          <w:tab w:val="left" w:leader="none" w:pos="340"/>
          <w:tab w:val="left" w:leader="none" w:pos="1134"/>
          <w:tab w:val="left" w:leader="none" w:pos="1276"/>
          <w:tab w:val="left" w:leader="none" w:pos="1701"/>
        </w:tabs>
        <w:ind w:left="709" w:right="608"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Офіційний сайт Української Асоціації сертифікованих бухгалтерів  і аудиторів. URL: </w:t>
      </w:r>
      <w:hyperlink r:id="rId24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https://www.uacaa.org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tabs>
          <w:tab w:val="left" w:leader="none" w:pos="142"/>
          <w:tab w:val="left" w:leader="none" w:pos="1134"/>
          <w:tab w:val="left" w:leader="none" w:pos="1276"/>
          <w:tab w:val="left" w:leader="none" w:pos="1701"/>
        </w:tabs>
        <w:ind w:left="709" w:right="608"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Офіційний сайт урядового порталу Кабінету Міністрів України. URL: </w:t>
      </w:r>
      <w:hyperlink r:id="rId25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https://www.kmu.gov.ua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tabs>
          <w:tab w:val="left" w:leader="none" w:pos="142"/>
          <w:tab w:val="left" w:leader="none" w:pos="851"/>
          <w:tab w:val="left" w:leader="none" w:pos="1134"/>
          <w:tab w:val="left" w:leader="none" w:pos="1276"/>
          <w:tab w:val="left" w:leader="none" w:pos="1701"/>
        </w:tabs>
        <w:ind w:left="709" w:right="608"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Офіційний сайт Федерації професійних бухгалтерів і аудиторів України. URL:  </w:t>
      </w:r>
      <w:hyperlink r:id="rId26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https://www.ufpaa.org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0">
      <w:pPr>
        <w:spacing w:line="242" w:lineRule="auto"/>
        <w:ind w:left="1095" w:right="412" w:firstLine="0"/>
        <w:jc w:val="center"/>
        <w:rPr>
          <w:b w:val="1"/>
          <w:bCs w:val="1"/>
          <w:i w:val="1"/>
          <w:iCs w:val="1"/>
          <w:color w:val="62242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2" w:lineRule="auto"/>
        <w:ind w:left="1095" w:right="412" w:firstLine="0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color w:val="622423"/>
          <w:sz w:val="28"/>
          <w:szCs w:val="28"/>
          <w:rtl w:val="0"/>
        </w:rPr>
        <w:t xml:space="preserve">Детальна інформація щодо вивчення курсу «Бухгалтерський фінансовий облік»  висвітлена у робочій програмі навчальної дисципліни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21" w:lineRule="auto"/>
        <w:ind w:left="1095" w:right="414" w:firstLine="0"/>
        <w:jc w:val="center"/>
        <w:rPr>
          <w:i w:val="1"/>
          <w:iCs w:val="1"/>
          <w:sz w:val="28"/>
          <w:szCs w:val="28"/>
        </w:rPr>
      </w:pPr>
      <w:hyperlink r:id="rId27">
        <w:r w:rsidDel="00000000" w:rsidR="00000000" w:rsidRPr="00000000">
          <w:rPr>
            <w:rFonts w:ascii="Arial" w:cs="Arial" w:eastAsia="Arial" w:hAnsi="Arial"/>
            <w:i w:val="1"/>
            <w:iCs w:val="1"/>
            <w:color w:val="1155cc"/>
            <w:highlight w:val="white"/>
            <w:u w:val="single"/>
            <w:rtl w:val="0"/>
          </w:rPr>
          <w:t xml:space="preserve">https://finance.chnu.edu.ua/diialnist/osvitnia-diialnist/bakalavr/navchalni-dystsypliny/robochi-prohramy/</w:t>
        </w:r>
      </w:hyperlink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40" w:w="11900" w:orient="portrait"/>
      <w:pgMar w:bottom="280" w:top="500" w:left="420" w:right="2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✔"/>
      <w:lvlJc w:val="left"/>
      <w:pPr>
        <w:ind w:left="1358" w:hanging="359.9999999999999"/>
      </w:pPr>
      <w:rPr>
        <w:rFonts w:ascii="Noto Sans Symbols" w:cs="Noto Sans Symbols" w:eastAsia="Noto Sans Symbols" w:hAnsi="Noto Sans Symbols"/>
        <w:sz w:val="28"/>
        <w:szCs w:val="28"/>
      </w:rPr>
    </w:lvl>
    <w:lvl w:ilvl="1">
      <w:start w:val="0"/>
      <w:numFmt w:val="bullet"/>
      <w:lvlText w:val="•"/>
      <w:lvlJc w:val="left"/>
      <w:pPr>
        <w:ind w:left="2348" w:hanging="360"/>
      </w:pPr>
      <w:rPr/>
    </w:lvl>
    <w:lvl w:ilvl="2">
      <w:start w:val="0"/>
      <w:numFmt w:val="bullet"/>
      <w:lvlText w:val="•"/>
      <w:lvlJc w:val="left"/>
      <w:pPr>
        <w:ind w:left="3336" w:hanging="360"/>
      </w:pPr>
      <w:rPr/>
    </w:lvl>
    <w:lvl w:ilvl="3">
      <w:start w:val="0"/>
      <w:numFmt w:val="bullet"/>
      <w:lvlText w:val="•"/>
      <w:lvlJc w:val="left"/>
      <w:pPr>
        <w:ind w:left="4324" w:hanging="360"/>
      </w:pPr>
      <w:rPr/>
    </w:lvl>
    <w:lvl w:ilvl="4">
      <w:start w:val="0"/>
      <w:numFmt w:val="bullet"/>
      <w:lvlText w:val="•"/>
      <w:lvlJc w:val="left"/>
      <w:pPr>
        <w:ind w:left="5312" w:hanging="360"/>
      </w:pPr>
      <w:rPr/>
    </w:lvl>
    <w:lvl w:ilvl="5">
      <w:start w:val="0"/>
      <w:numFmt w:val="bullet"/>
      <w:lvlText w:val="•"/>
      <w:lvlJc w:val="left"/>
      <w:pPr>
        <w:ind w:left="6300" w:hanging="360"/>
      </w:pPr>
      <w:rPr/>
    </w:lvl>
    <w:lvl w:ilvl="6">
      <w:start w:val="0"/>
      <w:numFmt w:val="bullet"/>
      <w:lvlText w:val="•"/>
      <w:lvlJc w:val="left"/>
      <w:pPr>
        <w:ind w:left="7288" w:hanging="360"/>
      </w:pPr>
      <w:rPr/>
    </w:lvl>
    <w:lvl w:ilvl="7">
      <w:start w:val="0"/>
      <w:numFmt w:val="bullet"/>
      <w:lvlText w:val="•"/>
      <w:lvlJc w:val="left"/>
      <w:pPr>
        <w:ind w:left="8276" w:hanging="360"/>
      </w:pPr>
      <w:rPr/>
    </w:lvl>
    <w:lvl w:ilvl="8">
      <w:start w:val="0"/>
      <w:numFmt w:val="bullet"/>
      <w:lvlText w:val="•"/>
      <w:lvlJc w:val="left"/>
      <w:pPr>
        <w:ind w:left="9264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928" w:hanging="360"/>
      </w:pPr>
      <w:rPr/>
    </w:lvl>
    <w:lvl w:ilvl="1">
      <w:start w:val="1"/>
      <w:numFmt w:val="lowerLetter"/>
      <w:lvlText w:val="%2."/>
      <w:lvlJc w:val="left"/>
      <w:pPr>
        <w:ind w:left="2150" w:hanging="360"/>
      </w:pPr>
      <w:rPr/>
    </w:lvl>
    <w:lvl w:ilvl="2">
      <w:start w:val="1"/>
      <w:numFmt w:val="lowerRoman"/>
      <w:lvlText w:val="%3."/>
      <w:lvlJc w:val="right"/>
      <w:pPr>
        <w:ind w:left="2870" w:hanging="180"/>
      </w:pPr>
      <w:rPr/>
    </w:lvl>
    <w:lvl w:ilvl="3">
      <w:start w:val="1"/>
      <w:numFmt w:val="decimal"/>
      <w:lvlText w:val="%4."/>
      <w:lvlJc w:val="left"/>
      <w:pPr>
        <w:ind w:left="3590" w:hanging="360"/>
      </w:pPr>
      <w:rPr/>
    </w:lvl>
    <w:lvl w:ilvl="4">
      <w:start w:val="1"/>
      <w:numFmt w:val="lowerLetter"/>
      <w:lvlText w:val="%5."/>
      <w:lvlJc w:val="left"/>
      <w:pPr>
        <w:ind w:left="4310" w:hanging="360"/>
      </w:pPr>
      <w:rPr/>
    </w:lvl>
    <w:lvl w:ilvl="5">
      <w:start w:val="1"/>
      <w:numFmt w:val="lowerRoman"/>
      <w:lvlText w:val="%6."/>
      <w:lvlJc w:val="right"/>
      <w:pPr>
        <w:ind w:left="5030" w:hanging="180"/>
      </w:pPr>
      <w:rPr/>
    </w:lvl>
    <w:lvl w:ilvl="6">
      <w:start w:val="1"/>
      <w:numFmt w:val="decimal"/>
      <w:lvlText w:val="%7."/>
      <w:lvlJc w:val="left"/>
      <w:pPr>
        <w:ind w:left="5750" w:hanging="360"/>
      </w:pPr>
      <w:rPr/>
    </w:lvl>
    <w:lvl w:ilvl="7">
      <w:start w:val="1"/>
      <w:numFmt w:val="lowerLetter"/>
      <w:lvlText w:val="%8."/>
      <w:lvlJc w:val="left"/>
      <w:pPr>
        <w:ind w:left="6470" w:hanging="360"/>
      </w:pPr>
      <w:rPr/>
    </w:lvl>
    <w:lvl w:ilvl="8">
      <w:start w:val="1"/>
      <w:numFmt w:val="lowerRoman"/>
      <w:lvlText w:val="%9."/>
      <w:lvlJc w:val="right"/>
      <w:pPr>
        <w:ind w:left="719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753" w:right="589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sz w:val="28"/>
      <w:szCs w:val="28"/>
    </w:rPr>
  </w:style>
  <w:style w:type="paragraph" w:styleId="a4">
    <w:name w:val="List Paragraph"/>
    <w:basedOn w:val="a"/>
    <w:uiPriority w:val="1"/>
    <w:qFormat w:val="1"/>
    <w:pPr>
      <w:ind w:left="1358" w:right="115" w:hanging="360"/>
    </w:pPr>
  </w:style>
  <w:style w:type="paragraph" w:styleId="TableParagraph" w:customStyle="1">
    <w:name w:val="Table Paragraph"/>
    <w:basedOn w:val="a"/>
    <w:uiPriority w:val="1"/>
    <w:qFormat w:val="1"/>
    <w:pPr>
      <w:spacing w:line="297" w:lineRule="exact"/>
      <w:ind w:left="105"/>
    </w:pPr>
  </w:style>
  <w:style w:type="character" w:styleId="a5">
    <w:name w:val="Hyperlink"/>
    <w:basedOn w:val="a0"/>
    <w:uiPriority w:val="99"/>
    <w:unhideWhenUsed w:val="1"/>
    <w:rsid w:val="00340F7B"/>
    <w:rPr>
      <w:color w:val="0000ff" w:themeColor="hyperlink"/>
      <w:u w:val="single"/>
    </w:rPr>
  </w:style>
  <w:style w:type="paragraph" w:styleId="a6">
    <w:name w:val="Normal (Web)"/>
    <w:basedOn w:val="a"/>
    <w:unhideWhenUsed w:val="1"/>
    <w:rsid w:val="00097641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uk-UA"/>
    </w:rPr>
  </w:style>
  <w:style w:type="character" w:styleId="50" w:customStyle="1">
    <w:name w:val="Заголовок 5 Знак"/>
    <w:basedOn w:val="a0"/>
    <w:link w:val="5"/>
    <w:uiPriority w:val="9"/>
    <w:semiHidden w:val="1"/>
    <w:rsid w:val="00A820A7"/>
    <w:rPr>
      <w:rFonts w:asciiTheme="majorHAnsi" w:cstheme="majorBidi" w:eastAsiaTheme="majorEastAsia" w:hAnsiTheme="majorHAnsi"/>
      <w:color w:val="365f91" w:themeColor="accent1" w:themeShade="0000BF"/>
      <w:lang w:val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ifac.org/" TargetMode="External"/><Relationship Id="rId22" Type="http://schemas.openxmlformats.org/officeDocument/2006/relationships/hyperlink" Target="https://bank.gov.ua" TargetMode="External"/><Relationship Id="rId21" Type="http://schemas.openxmlformats.org/officeDocument/2006/relationships/hyperlink" Target="https://mof.gov.ua" TargetMode="External"/><Relationship Id="rId24" Type="http://schemas.openxmlformats.org/officeDocument/2006/relationships/hyperlink" Target="https://www.uacaa.org" TargetMode="External"/><Relationship Id="rId23" Type="http://schemas.openxmlformats.org/officeDocument/2006/relationships/hyperlink" Target="http://www.nbuv.gov.u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.kudlaeva@chnu.edu.ua" TargetMode="External"/><Relationship Id="rId26" Type="http://schemas.openxmlformats.org/officeDocument/2006/relationships/hyperlink" Target="https://www.ufpaa.org" TargetMode="External"/><Relationship Id="rId25" Type="http://schemas.openxmlformats.org/officeDocument/2006/relationships/hyperlink" Target="https://www.kmu.gov.ua" TargetMode="External"/><Relationship Id="rId27" Type="http://schemas.openxmlformats.org/officeDocument/2006/relationships/hyperlink" Target="https://finance.chnu.edu.ua/diialnist/osvitnia-diialnist/bakalavr/navchalni-dystsypliny/robochi-prohramy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accounting.chnu.edu.ua/pro-nas/kolektyv/kudlaieva-natalia-viktorivna/" TargetMode="External"/><Relationship Id="rId11" Type="http://schemas.openxmlformats.org/officeDocument/2006/relationships/hyperlink" Target="https://www.chnu.edu.ua/universytet/normatyvni-dokumenty/etychnyi-kodeks-chernivetskoho-natsionalnoho-universytetu-imeni-yuriia-fedkovycha/" TargetMode="External"/><Relationship Id="rId10" Type="http://schemas.openxmlformats.org/officeDocument/2006/relationships/hyperlink" Target="https://moodle.chnu.edu.ua/course/view.php?id=3995" TargetMode="External"/><Relationship Id="rId13" Type="http://schemas.openxmlformats.org/officeDocument/2006/relationships/hyperlink" Target="https://www.accaglobal.com" TargetMode="External"/><Relationship Id="rId12" Type="http://schemas.openxmlformats.org/officeDocument/2006/relationships/hyperlink" Target="https://www.chnu.edu.ua/universytet/normatyvni-dokumenty/polozhennia-pro-vyiavlennia-ta-zapobihannia-akademichnomu-plahiatu-u-chernivetskomu-natsionalnomu-universyteti-imeni-yuriia-fedkovycha/" TargetMode="External"/><Relationship Id="rId15" Type="http://schemas.openxmlformats.org/officeDocument/2006/relationships/hyperlink" Target="http://tax.gov.ua" TargetMode="External"/><Relationship Id="rId14" Type="http://schemas.openxmlformats.org/officeDocument/2006/relationships/hyperlink" Target="https://zakon.rada.gov.ua/laws" TargetMode="External"/><Relationship Id="rId17" Type="http://schemas.openxmlformats.org/officeDocument/2006/relationships/hyperlink" Target="https://lib.imzo.gov.ua/" TargetMode="External"/><Relationship Id="rId16" Type="http://schemas.openxmlformats.org/officeDocument/2006/relationships/hyperlink" Target="https://ukrstat.gov.ua/" TargetMode="External"/><Relationship Id="rId19" Type="http://schemas.openxmlformats.org/officeDocument/2006/relationships/hyperlink" Target="https://www.ifa.org.uk/" TargetMode="External"/><Relationship Id="rId18" Type="http://schemas.openxmlformats.org/officeDocument/2006/relationships/hyperlink" Target="https://www.bookkeepers.org.uk/About-U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2jf9kvS4/QlTJdla3Figw2Ahyw==">CgMxLjAyDmguOHVhNjNia2g4aXd3OAByITF6bXRReTg5ZWxXUVo3SFFSLVV0RTgzaFlIbXYxUlhweg==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2024-08-18T08:05:00Z</dcterms:created>
</cp:coreProperties>
</file>