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AAE7734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814A7">
        <w:rPr>
          <w:b/>
          <w:b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color w:val="632423" w:themeColor="accent2" w:themeShade="80"/>
          <w:sz w:val="28"/>
          <w:szCs w:val="28"/>
        </w:rPr>
        <w:t>-ТЕХНОЛОГІЇ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520FB65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9380D">
        <w:rPr>
          <w:rFonts w:eastAsiaTheme="minorHAnsi"/>
          <w:i/>
          <w:iCs/>
          <w:color w:val="000000"/>
          <w:sz w:val="28"/>
          <w:szCs w:val="28"/>
        </w:rPr>
        <w:t>4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39380D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190D97DE" w:rsidR="00CA1254" w:rsidRPr="00F01298" w:rsidRDefault="0039380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та оподаткування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47126184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</w:t>
            </w:r>
            <w:r w:rsidR="0039380D"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39380D">
              <w:rPr>
                <w:bCs/>
                <w:sz w:val="28"/>
                <w:szCs w:val="28"/>
              </w:rPr>
              <w:t>Облік та оподаткування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8BA8C40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B814A7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42B1055C" w:rsidR="00371D03" w:rsidRPr="00BA6D54" w:rsidRDefault="00F0129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71D03" w:rsidRPr="00633045">
              <w:rPr>
                <w:bCs/>
                <w:sz w:val="28"/>
                <w:szCs w:val="28"/>
              </w:rPr>
              <w:t>(</w:t>
            </w:r>
            <w:r w:rsidR="00633045" w:rsidRPr="00633045">
              <w:rPr>
                <w:sz w:val="28"/>
                <w:szCs w:val="28"/>
              </w:rPr>
              <w:t>https://bup.chnu.edu.ua/pro-nas/kolektyv-kafedry/kobelia-zoriana-ihorivna/</w:t>
            </w:r>
            <w:r w:rsidR="00371D03" w:rsidRPr="00633045">
              <w:rPr>
                <w:bCs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EE0FD4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D5057D0" w:rsidR="00371D03" w:rsidRPr="00F01298" w:rsidRDefault="00EE0FD4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F01298" w:rsidRPr="00F01298">
                <w:rPr>
                  <w:rStyle w:val="a6"/>
                  <w:sz w:val="28"/>
                  <w:szCs w:val="28"/>
                </w:rPr>
                <w:t>https://moodle.chnu.edu.ua/user/index.php?id=2435</w:t>
              </w:r>
            </w:hyperlink>
            <w:r w:rsidR="00F01298" w:rsidRPr="00F01298">
              <w:rPr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3A8C102A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5AAEA55D" w14:textId="111321F3" w:rsidR="008B2C9D" w:rsidRPr="00B814A7" w:rsidRDefault="00F01298" w:rsidP="00B814A7">
      <w:pPr>
        <w:ind w:right="2" w:firstLine="709"/>
        <w:jc w:val="both"/>
        <w:rPr>
          <w:bCs/>
          <w:sz w:val="28"/>
          <w:szCs w:val="28"/>
        </w:rPr>
      </w:pPr>
      <w:r w:rsidRPr="00B814A7">
        <w:rPr>
          <w:color w:val="000000"/>
          <w:sz w:val="28"/>
          <w:szCs w:val="28"/>
        </w:rPr>
        <w:t xml:space="preserve">Дисципліна </w:t>
      </w:r>
      <w:r w:rsidR="00B814A7" w:rsidRPr="00B814A7">
        <w:rPr>
          <w:sz w:val="28"/>
          <w:szCs w:val="28"/>
        </w:rPr>
        <w:t>«</w:t>
      </w:r>
      <w:r w:rsidR="00B814A7" w:rsidRPr="00B814A7">
        <w:rPr>
          <w:sz w:val="28"/>
          <w:szCs w:val="28"/>
          <w:lang w:val="en-US"/>
        </w:rPr>
        <w:t>HR</w:t>
      </w:r>
      <w:r w:rsidR="00B814A7" w:rsidRPr="00B814A7">
        <w:rPr>
          <w:sz w:val="28"/>
          <w:szCs w:val="28"/>
        </w:rPr>
        <w:t xml:space="preserve">-технології» є </w:t>
      </w:r>
      <w:r w:rsidR="0039380D">
        <w:rPr>
          <w:sz w:val="28"/>
          <w:szCs w:val="28"/>
        </w:rPr>
        <w:t xml:space="preserve">важливою складовою освітньою </w:t>
      </w:r>
      <w:proofErr w:type="spellStart"/>
      <w:r w:rsidR="0039380D">
        <w:rPr>
          <w:sz w:val="28"/>
          <w:szCs w:val="28"/>
        </w:rPr>
        <w:t>компонентою</w:t>
      </w:r>
      <w:proofErr w:type="spellEnd"/>
      <w:r w:rsidR="00B814A7" w:rsidRPr="00B814A7">
        <w:rPr>
          <w:sz w:val="28"/>
          <w:szCs w:val="28"/>
        </w:rPr>
        <w:t xml:space="preserve"> вивчення дисциплін циклу професійної підготовки. Вивчення дисципліни дає можливість </w:t>
      </w:r>
      <w:r w:rsidR="0039380D">
        <w:rPr>
          <w:sz w:val="28"/>
          <w:szCs w:val="28"/>
        </w:rPr>
        <w:t>здобувачу</w:t>
      </w:r>
      <w:r w:rsidR="00B814A7" w:rsidRPr="00B814A7">
        <w:rPr>
          <w:sz w:val="28"/>
          <w:szCs w:val="28"/>
        </w:rPr>
        <w:t xml:space="preserve"> набути досвіду організації планування, координації, реалізації та контролю соціально-трудових процесів на підприємствах, в організаціях та установах.</w:t>
      </w:r>
    </w:p>
    <w:p w14:paraId="07EBDC08" w14:textId="0B1C21C1" w:rsidR="00BA6D54" w:rsidRPr="00B814A7" w:rsidRDefault="00B814A7" w:rsidP="00B814A7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color w:val="000000"/>
          <w:sz w:val="28"/>
          <w:szCs w:val="28"/>
        </w:rPr>
      </w:pPr>
      <w:r w:rsidRPr="00B814A7">
        <w:rPr>
          <w:color w:val="000000"/>
          <w:sz w:val="28"/>
          <w:szCs w:val="28"/>
        </w:rPr>
        <w:t>Надання майбутнім фахівцям знання необхідних теоретичних основ, методичних рекомендацій, практичних навичок, механізму управління сферою праці, які є необхідними для вільного володіння практикою прийняття оптимальних рішень щодо функціонування, розвитку та регулювання соціально-трудових відносин, технологій управління персоналом у суспільстві.</w:t>
      </w:r>
    </w:p>
    <w:p w14:paraId="51478FC7" w14:textId="77777777" w:rsidR="00B814A7" w:rsidRPr="00BA6D54" w:rsidRDefault="00B814A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814A7" w14:paraId="771CD236" w14:textId="77777777" w:rsidTr="00F01298">
        <w:tc>
          <w:tcPr>
            <w:tcW w:w="9915" w:type="dxa"/>
            <w:gridSpan w:val="2"/>
          </w:tcPr>
          <w:p w14:paraId="160C7623" w14:textId="72D8916F" w:rsidR="00F547E8" w:rsidRPr="00B814A7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B814A7" w:rsidRPr="00B814A7">
              <w:rPr>
                <w:b/>
                <w:bCs/>
                <w:sz w:val="28"/>
                <w:szCs w:val="28"/>
              </w:rPr>
              <w:t>Основи економіки праці та соціально-трудових відносин</w:t>
            </w:r>
          </w:p>
        </w:tc>
      </w:tr>
      <w:tr w:rsidR="00B814A7" w:rsidRPr="00B814A7" w14:paraId="50E6B1C3" w14:textId="77777777" w:rsidTr="006F2711">
        <w:tc>
          <w:tcPr>
            <w:tcW w:w="1229" w:type="dxa"/>
          </w:tcPr>
          <w:p w14:paraId="6BDCF995" w14:textId="2AB3C0B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2B9F3983" w:rsidR="00B814A7" w:rsidRPr="00B814A7" w:rsidRDefault="00B814A7" w:rsidP="00B814A7">
            <w:pPr>
              <w:shd w:val="clear" w:color="auto" w:fill="FFFFFF"/>
              <w:adjustRightInd w:val="0"/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bCs/>
                <w:sz w:val="28"/>
                <w:szCs w:val="28"/>
              </w:rPr>
              <w:t>Праця та її фізіолого-психологічні особливості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7DE1658A" w14:textId="77777777" w:rsidTr="006F2711">
        <w:tc>
          <w:tcPr>
            <w:tcW w:w="1229" w:type="dxa"/>
          </w:tcPr>
          <w:p w14:paraId="736616EA" w14:textId="7C3B7FAE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166E24D1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 xml:space="preserve">Персонал та його ефективність. </w:t>
            </w:r>
          </w:p>
        </w:tc>
      </w:tr>
      <w:tr w:rsidR="00B814A7" w:rsidRPr="00B814A7" w14:paraId="7A7593B9" w14:textId="77777777" w:rsidTr="006F2711">
        <w:tc>
          <w:tcPr>
            <w:tcW w:w="1229" w:type="dxa"/>
          </w:tcPr>
          <w:p w14:paraId="7A82D4D0" w14:textId="3D28FF1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1A8731AE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та нормування праці</w:t>
            </w:r>
          </w:p>
        </w:tc>
      </w:tr>
      <w:tr w:rsidR="00B814A7" w:rsidRPr="00B814A7" w14:paraId="3030A273" w14:textId="77777777" w:rsidTr="006F2711">
        <w:tc>
          <w:tcPr>
            <w:tcW w:w="1229" w:type="dxa"/>
          </w:tcPr>
          <w:p w14:paraId="40F3D6E6" w14:textId="282AA2A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4F89AC3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Умови та безпека праці співробітників</w:t>
            </w:r>
          </w:p>
        </w:tc>
      </w:tr>
      <w:tr w:rsidR="00B814A7" w:rsidRPr="00B814A7" w14:paraId="736F56BD" w14:textId="77777777" w:rsidTr="006F2711">
        <w:tc>
          <w:tcPr>
            <w:tcW w:w="1229" w:type="dxa"/>
          </w:tcPr>
          <w:p w14:paraId="503F60E7" w14:textId="1E183DD2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6F9F8E51" w:rsidR="00B814A7" w:rsidRPr="00B814A7" w:rsidRDefault="00B814A7" w:rsidP="00B814A7">
            <w:pPr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Політика доходів і оплата праці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1F3DA4A3" w14:textId="77777777" w:rsidTr="006F2711">
        <w:tc>
          <w:tcPr>
            <w:tcW w:w="1229" w:type="dxa"/>
          </w:tcPr>
          <w:p w14:paraId="388C70CF" w14:textId="2308621B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7ED07C4D" w14:textId="5723B44F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Теорія та практика мотивації в HR</w:t>
            </w:r>
          </w:p>
        </w:tc>
      </w:tr>
      <w:tr w:rsidR="00B814A7" w:rsidRPr="00B814A7" w14:paraId="1857799C" w14:textId="77777777" w:rsidTr="006F2711">
        <w:tc>
          <w:tcPr>
            <w:tcW w:w="1229" w:type="dxa"/>
          </w:tcPr>
          <w:p w14:paraId="6F53C99C" w14:textId="13A85DDC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7C6A62A6" w14:textId="0FC91058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Інфраструктурне забезпечення функціонування ринку праці в Україні</w:t>
            </w:r>
          </w:p>
        </w:tc>
      </w:tr>
      <w:tr w:rsidR="00B814A7" w:rsidRPr="00B814A7" w14:paraId="1FF3E6D8" w14:textId="77777777" w:rsidTr="00F01298">
        <w:tc>
          <w:tcPr>
            <w:tcW w:w="9915" w:type="dxa"/>
            <w:gridSpan w:val="2"/>
          </w:tcPr>
          <w:p w14:paraId="0626F78F" w14:textId="1619791F" w:rsidR="00B814A7" w:rsidRPr="00B814A7" w:rsidRDefault="00B814A7" w:rsidP="00B814A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B814A7">
              <w:rPr>
                <w:b/>
                <w:bCs/>
                <w:sz w:val="28"/>
                <w:szCs w:val="28"/>
              </w:rPr>
              <w:t>Теорія та практика HR-управління</w:t>
            </w:r>
          </w:p>
        </w:tc>
      </w:tr>
      <w:tr w:rsidR="00B814A7" w:rsidRPr="00B814A7" w14:paraId="2E231211" w14:textId="77777777" w:rsidTr="00E31B7E">
        <w:tc>
          <w:tcPr>
            <w:tcW w:w="1229" w:type="dxa"/>
          </w:tcPr>
          <w:p w14:paraId="7A4524AE" w14:textId="30DE5F56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499D2F0E" w14:textId="2F84CB0C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НR-управління та емоційний інтелект</w:t>
            </w:r>
          </w:p>
        </w:tc>
      </w:tr>
      <w:tr w:rsidR="00B814A7" w:rsidRPr="00B814A7" w14:paraId="17AFFA4A" w14:textId="77777777" w:rsidTr="00E31B7E">
        <w:tc>
          <w:tcPr>
            <w:tcW w:w="1229" w:type="dxa"/>
          </w:tcPr>
          <w:p w14:paraId="0DAEFAAA" w14:textId="5DFC4314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  <w:vAlign w:val="bottom"/>
          </w:tcPr>
          <w:p w14:paraId="0CD30D40" w14:textId="146E655A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Командоутворення</w:t>
            </w:r>
            <w:proofErr w:type="spellEnd"/>
            <w:r w:rsidRPr="00B814A7">
              <w:rPr>
                <w:sz w:val="28"/>
                <w:szCs w:val="28"/>
              </w:rPr>
              <w:t xml:space="preserve"> та комунікації в HR</w:t>
            </w:r>
          </w:p>
        </w:tc>
      </w:tr>
      <w:tr w:rsidR="00B814A7" w:rsidRPr="00B814A7" w14:paraId="49B38862" w14:textId="77777777" w:rsidTr="00E31B7E">
        <w:tc>
          <w:tcPr>
            <w:tcW w:w="1229" w:type="dxa"/>
          </w:tcPr>
          <w:p w14:paraId="5CF40D5D" w14:textId="31A63221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lastRenderedPageBreak/>
              <w:t>Тема 10</w:t>
            </w:r>
          </w:p>
        </w:tc>
        <w:tc>
          <w:tcPr>
            <w:tcW w:w="8686" w:type="dxa"/>
            <w:vAlign w:val="bottom"/>
          </w:tcPr>
          <w:p w14:paraId="19B18121" w14:textId="6A32E6F0" w:rsidR="00B814A7" w:rsidRPr="00B814A7" w:rsidRDefault="00B814A7" w:rsidP="00B814A7">
            <w:pPr>
              <w:jc w:val="both"/>
              <w:rPr>
                <w:b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Інноваційні технології набору персоналу</w:t>
            </w:r>
            <w:r w:rsidRPr="00B814A7">
              <w:rPr>
                <w:bCs/>
                <w:sz w:val="28"/>
                <w:szCs w:val="28"/>
              </w:rPr>
              <w:t>.</w:t>
            </w:r>
          </w:p>
        </w:tc>
      </w:tr>
      <w:tr w:rsidR="00B814A7" w:rsidRPr="00B814A7" w14:paraId="21E7432C" w14:textId="77777777" w:rsidTr="00E31B7E">
        <w:tc>
          <w:tcPr>
            <w:tcW w:w="1229" w:type="dxa"/>
          </w:tcPr>
          <w:p w14:paraId="4490BCD7" w14:textId="40907F6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7FA96DD3" w14:textId="3DD27CB3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розвитку персоналу</w:t>
            </w:r>
          </w:p>
        </w:tc>
      </w:tr>
      <w:tr w:rsidR="00B814A7" w:rsidRPr="00B814A7" w14:paraId="0B9A49C6" w14:textId="77777777" w:rsidTr="00E31B7E">
        <w:tc>
          <w:tcPr>
            <w:tcW w:w="1229" w:type="dxa"/>
          </w:tcPr>
          <w:p w14:paraId="35E9AE9E" w14:textId="3D1B7657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60DCA45C" w14:textId="4F06AE0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Соціальна відповідальність та контроль заходів НR</w:t>
            </w:r>
          </w:p>
        </w:tc>
      </w:tr>
      <w:tr w:rsidR="00B814A7" w:rsidRPr="00B814A7" w14:paraId="759D43F0" w14:textId="77777777" w:rsidTr="00E31B7E">
        <w:tc>
          <w:tcPr>
            <w:tcW w:w="1229" w:type="dxa"/>
          </w:tcPr>
          <w:p w14:paraId="5C872D8A" w14:textId="33D74AE8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48EADFEC" w14:textId="4E4E2112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Діджиталізація</w:t>
            </w:r>
            <w:proofErr w:type="spellEnd"/>
            <w:r w:rsidRPr="00B814A7">
              <w:rPr>
                <w:sz w:val="28"/>
                <w:szCs w:val="28"/>
              </w:rPr>
              <w:t xml:space="preserve"> </w:t>
            </w:r>
            <w:r w:rsidRPr="00B814A7">
              <w:rPr>
                <w:sz w:val="28"/>
                <w:szCs w:val="28"/>
                <w:lang w:val="en-US"/>
              </w:rPr>
              <w:t>HR</w:t>
            </w:r>
            <w:r w:rsidRPr="00B814A7">
              <w:rPr>
                <w:sz w:val="28"/>
                <w:szCs w:val="28"/>
              </w:rPr>
              <w:t>-технологій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3A93FAB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490C48">
      <w:pPr>
        <w:pStyle w:val="a4"/>
        <w:tabs>
          <w:tab w:val="left" w:pos="993"/>
        </w:tabs>
        <w:spacing w:line="242" w:lineRule="auto"/>
        <w:ind w:left="0" w:right="2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490C48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6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6"/>
          <w:bCs/>
          <w:color w:val="auto"/>
          <w:sz w:val="28"/>
          <w:szCs w:val="28"/>
          <w:u w:val="none"/>
        </w:rPr>
        <w:t>;</w:t>
      </w:r>
    </w:p>
    <w:p w14:paraId="27FA95F4" w14:textId="073F98FD" w:rsidR="00453EF7" w:rsidRPr="00417415" w:rsidRDefault="00453EF7" w:rsidP="00490C48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417415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417415" w:rsidRPr="00417415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417415" w:rsidRPr="00072B39">
          <w:rPr>
            <w:rStyle w:val="a6"/>
            <w:sz w:val="28"/>
            <w:szCs w:val="28"/>
          </w:rPr>
          <w:t>http://library.chnu.edu.ua/res//library/services/antiplagiarism/docs/polozhennya_pro_zapobihannya_plahiatu_240902.pdf</w:t>
        </w:r>
      </w:hyperlink>
      <w:r w:rsidR="00417415">
        <w:rPr>
          <w:sz w:val="28"/>
          <w:szCs w:val="28"/>
        </w:rPr>
        <w:t xml:space="preserve"> </w:t>
      </w:r>
      <w:r w:rsidRPr="00417415">
        <w:rPr>
          <w:bCs/>
          <w:color w:val="000000" w:themeColor="text1"/>
          <w:sz w:val="28"/>
          <w:szCs w:val="28"/>
        </w:rPr>
        <w:t>.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2">
        <w:r w:rsidRPr="00490C48">
          <w:rPr>
            <w:sz w:val="28"/>
            <w:szCs w:val="28"/>
          </w:rPr>
          <w:t xml:space="preserve"> </w:t>
        </w:r>
      </w:hyperlink>
      <w:hyperlink r:id="rId13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lastRenderedPageBreak/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39B7CF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5BAC5C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7E661AC0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2E1D400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332ECF6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25D82B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710A3327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2F5954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14:paraId="111D032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14:paraId="210F12A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5A4BC44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7B573F8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772EAF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www.pautina.net</w:t>
      </w:r>
    </w:p>
    <w:p w14:paraId="5521330D" w14:textId="77777777" w:rsidR="00490C48" w:rsidRPr="00490C48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 xml:space="preserve">13. 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260A2FA9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</w:rPr>
        <w:t>-технології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4BCDE09D" w14:textId="77777777" w:rsidR="00EE0FD4" w:rsidRPr="00EE0FD4" w:rsidRDefault="00EE0FD4" w:rsidP="00EE0FD4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3" w:name="_GoBack"/>
      <w:r w:rsidRPr="00EE0FD4"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EE0FD4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bookmarkEnd w:id="3"/>
    <w:p w14:paraId="105A026B" w14:textId="1FF9C381" w:rsidR="00554C48" w:rsidRPr="00EE0FD4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RPr="00EE0FD4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C17AD"/>
    <w:rsid w:val="000D008C"/>
    <w:rsid w:val="000F018E"/>
    <w:rsid w:val="00114E11"/>
    <w:rsid w:val="001859E0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80D"/>
    <w:rsid w:val="00393D22"/>
    <w:rsid w:val="003B13FB"/>
    <w:rsid w:val="003E6191"/>
    <w:rsid w:val="003F46A1"/>
    <w:rsid w:val="003F5323"/>
    <w:rsid w:val="00417415"/>
    <w:rsid w:val="0043028E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33045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A6D54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0FD4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а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user/index.php?id=2435" TargetMode="External"/><Relationship Id="rId13" Type="http://schemas.openxmlformats.org/officeDocument/2006/relationships/hyperlink" Target="http://www.kmu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brary.chnu.edu.ua/res//library/services/antiplagiarism/docs/polozhennya_pro_zapobihannya_plahiatu_2409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3875-0875-4BC7-A69F-80A858A9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</cp:revision>
  <dcterms:created xsi:type="dcterms:W3CDTF">2025-10-22T18:31:00Z</dcterms:created>
  <dcterms:modified xsi:type="dcterms:W3CDTF">2025-10-26T11:05:00Z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