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88" w:rsidRPr="003D7DBF" w:rsidRDefault="00EF30B3" w:rsidP="00EF30B3">
      <w:pPr>
        <w:pStyle w:val="10"/>
        <w:keepNext/>
        <w:keepLines/>
        <w:shd w:val="clear" w:color="auto" w:fill="auto"/>
        <w:spacing w:line="260" w:lineRule="exact"/>
        <w:jc w:val="center"/>
        <w:rPr>
          <w:sz w:val="28"/>
          <w:szCs w:val="28"/>
        </w:rPr>
      </w:pPr>
      <w:r w:rsidRPr="003D7DBF">
        <w:rPr>
          <w:sz w:val="28"/>
          <w:szCs w:val="28"/>
        </w:rPr>
        <w:t>КРИТЕРІЇ ОЦІНЮВАННЯ ЯКОСТІ БАКАЛАВРСЬКОЇ ДИПЛОМНОЇ РОБОТИ</w:t>
      </w:r>
    </w:p>
    <w:p w:rsidR="00EF30B3" w:rsidRPr="003D7DBF" w:rsidRDefault="00EF30B3" w:rsidP="00EF30B3">
      <w:pPr>
        <w:pStyle w:val="10"/>
        <w:keepNext/>
        <w:keepLines/>
        <w:shd w:val="clear" w:color="auto" w:fill="auto"/>
        <w:spacing w:line="260" w:lineRule="exact"/>
        <w:jc w:val="center"/>
        <w:rPr>
          <w:sz w:val="28"/>
          <w:szCs w:val="28"/>
        </w:rPr>
      </w:pPr>
    </w:p>
    <w:p w:rsidR="00EF30B3" w:rsidRPr="003D7DBF" w:rsidRDefault="00EF30B3" w:rsidP="00EF30B3">
      <w:pPr>
        <w:pStyle w:val="a4"/>
        <w:spacing w:before="0" w:beforeAutospacing="0" w:after="0" w:afterAutospacing="0"/>
        <w:rPr>
          <w:sz w:val="28"/>
          <w:szCs w:val="28"/>
          <w:lang w:val="uk-UA"/>
        </w:rPr>
      </w:pPr>
      <w:r w:rsidRPr="003D7DBF">
        <w:rPr>
          <w:sz w:val="28"/>
          <w:szCs w:val="28"/>
          <w:lang w:val="uk-UA"/>
        </w:rPr>
        <w:t>Остаточна оцінка за бакалаврську дипломну роботу виставляється за результатами її захисту перед ЕК. Захист бакалаврської дипломної роботи оцінюється за національною шкалою, за 5-бальною шкалою та за шкалою ECTS.</w:t>
      </w:r>
    </w:p>
    <w:p w:rsidR="00EF30B3" w:rsidRPr="003D7DBF" w:rsidRDefault="00EF30B3" w:rsidP="00EF30B3">
      <w:pPr>
        <w:pStyle w:val="a4"/>
        <w:spacing w:before="0" w:beforeAutospacing="0" w:after="0" w:afterAutospacing="0"/>
        <w:rPr>
          <w:sz w:val="28"/>
          <w:szCs w:val="28"/>
          <w:lang w:val="uk-UA"/>
        </w:rPr>
      </w:pPr>
      <w:r w:rsidRPr="003D7DBF">
        <w:rPr>
          <w:rStyle w:val="a5"/>
          <w:sz w:val="28"/>
          <w:szCs w:val="28"/>
          <w:lang w:val="uk-UA"/>
        </w:rPr>
        <w:t>При виставленні остаточної оцінки за бакалаврську дипломну роботу члени ЕК повинні обов'язково враховувати такі моменти:</w:t>
      </w:r>
    </w:p>
    <w:p w:rsidR="00EF30B3" w:rsidRPr="003D7DBF" w:rsidRDefault="00EF30B3" w:rsidP="00EF30B3">
      <w:pPr>
        <w:pStyle w:val="a4"/>
        <w:spacing w:before="0" w:beforeAutospacing="0" w:after="0" w:afterAutospacing="0"/>
        <w:rPr>
          <w:sz w:val="28"/>
          <w:szCs w:val="28"/>
          <w:lang w:val="uk-UA"/>
        </w:rPr>
      </w:pPr>
      <w:r w:rsidRPr="003D7DBF">
        <w:rPr>
          <w:sz w:val="28"/>
          <w:szCs w:val="28"/>
          <w:lang w:val="uk-UA"/>
        </w:rPr>
        <w:t xml:space="preserve">1) </w:t>
      </w:r>
      <w:r w:rsidRPr="003D7DBF">
        <w:rPr>
          <w:rStyle w:val="a6"/>
          <w:sz w:val="28"/>
          <w:szCs w:val="28"/>
          <w:lang w:val="uk-UA"/>
        </w:rPr>
        <w:t>відповідність змісту бакалаврської дипломної роботи вимогам до її написання;</w:t>
      </w:r>
    </w:p>
    <w:p w:rsidR="00EF30B3" w:rsidRPr="003D7DBF" w:rsidRDefault="00EF30B3" w:rsidP="00EF30B3">
      <w:pPr>
        <w:pStyle w:val="a4"/>
        <w:spacing w:before="0" w:beforeAutospacing="0" w:after="0" w:afterAutospacing="0"/>
        <w:rPr>
          <w:sz w:val="28"/>
          <w:szCs w:val="28"/>
          <w:lang w:val="uk-UA"/>
        </w:rPr>
      </w:pPr>
      <w:r w:rsidRPr="003D7DBF">
        <w:rPr>
          <w:sz w:val="28"/>
          <w:szCs w:val="28"/>
          <w:lang w:val="uk-UA"/>
        </w:rPr>
        <w:t xml:space="preserve">2) </w:t>
      </w:r>
      <w:r w:rsidRPr="003D7DBF">
        <w:rPr>
          <w:rStyle w:val="a6"/>
          <w:sz w:val="28"/>
          <w:szCs w:val="28"/>
          <w:lang w:val="uk-UA"/>
        </w:rPr>
        <w:t>оцінку рецензента бакалаврської дипломної роботи;</w:t>
      </w:r>
    </w:p>
    <w:p w:rsidR="00EF30B3" w:rsidRPr="003D7DBF" w:rsidRDefault="00EF30B3" w:rsidP="00EF30B3">
      <w:pPr>
        <w:pStyle w:val="a4"/>
        <w:spacing w:before="0" w:beforeAutospacing="0" w:after="0" w:afterAutospacing="0"/>
        <w:rPr>
          <w:sz w:val="28"/>
          <w:szCs w:val="28"/>
          <w:lang w:val="uk-UA"/>
        </w:rPr>
      </w:pPr>
      <w:r w:rsidRPr="003D7DBF">
        <w:rPr>
          <w:sz w:val="28"/>
          <w:szCs w:val="28"/>
          <w:lang w:val="uk-UA"/>
        </w:rPr>
        <w:t xml:space="preserve">3) </w:t>
      </w:r>
      <w:r w:rsidRPr="003D7DBF">
        <w:rPr>
          <w:rStyle w:val="a6"/>
          <w:sz w:val="28"/>
          <w:szCs w:val="28"/>
          <w:lang w:val="uk-UA"/>
        </w:rPr>
        <w:t>оцінку наукового керівника бакалаврської дипломної роботи;</w:t>
      </w:r>
    </w:p>
    <w:p w:rsidR="00EF30B3" w:rsidRPr="003D7DBF" w:rsidRDefault="00EF30B3" w:rsidP="00EF30B3">
      <w:pPr>
        <w:pStyle w:val="a4"/>
        <w:spacing w:before="0" w:beforeAutospacing="0" w:after="0" w:afterAutospacing="0"/>
        <w:rPr>
          <w:rStyle w:val="a6"/>
          <w:sz w:val="28"/>
          <w:szCs w:val="28"/>
          <w:lang w:val="uk-UA"/>
        </w:rPr>
      </w:pPr>
      <w:r w:rsidRPr="003D7DBF">
        <w:rPr>
          <w:sz w:val="28"/>
          <w:szCs w:val="28"/>
          <w:lang w:val="uk-UA"/>
        </w:rPr>
        <w:t xml:space="preserve">4) </w:t>
      </w:r>
      <w:r w:rsidRPr="003D7DBF">
        <w:rPr>
          <w:rStyle w:val="a6"/>
          <w:sz w:val="28"/>
          <w:szCs w:val="28"/>
          <w:lang w:val="uk-UA"/>
        </w:rPr>
        <w:t>захист бакалаврської дипломної роботи її автором перед членами ЕК.</w:t>
      </w:r>
    </w:p>
    <w:p w:rsidR="00EF30B3" w:rsidRPr="00EF30B3" w:rsidRDefault="00EF30B3" w:rsidP="00EF30B3">
      <w:pPr>
        <w:pStyle w:val="a4"/>
        <w:spacing w:before="0" w:beforeAutospacing="0" w:after="0" w:afterAutospacing="0"/>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86"/>
        <w:gridCol w:w="5812"/>
        <w:gridCol w:w="1075"/>
        <w:gridCol w:w="1724"/>
      </w:tblGrid>
      <w:tr w:rsidR="00EF30B3" w:rsidRPr="003D7DBF" w:rsidTr="00EF30B3">
        <w:trPr>
          <w:trHeight w:hRule="exact" w:val="827"/>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15pt"/>
                <w:sz w:val="24"/>
                <w:szCs w:val="24"/>
              </w:rPr>
              <w:t>Оцінка за шкалою ЄКТС</w:t>
            </w:r>
          </w:p>
        </w:tc>
        <w:tc>
          <w:tcPr>
            <w:tcW w:w="5812"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15pt"/>
                <w:sz w:val="24"/>
                <w:szCs w:val="24"/>
              </w:rPr>
              <w:t>Критерії оцінок</w:t>
            </w:r>
          </w:p>
        </w:tc>
        <w:tc>
          <w:tcPr>
            <w:tcW w:w="1075" w:type="dxa"/>
            <w:shd w:val="clear" w:color="auto" w:fill="FFFFFF"/>
            <w:vAlign w:val="center"/>
          </w:tcPr>
          <w:p w:rsidR="00EF30B3" w:rsidRPr="003D7DBF" w:rsidRDefault="00EF30B3" w:rsidP="00EF30B3">
            <w:pPr>
              <w:pStyle w:val="20"/>
              <w:shd w:val="clear" w:color="auto" w:fill="auto"/>
              <w:ind w:left="140"/>
              <w:jc w:val="center"/>
              <w:rPr>
                <w:sz w:val="24"/>
                <w:szCs w:val="24"/>
              </w:rPr>
            </w:pPr>
            <w:r w:rsidRPr="003D7DBF">
              <w:rPr>
                <w:rStyle w:val="2115pt"/>
                <w:sz w:val="24"/>
                <w:szCs w:val="24"/>
              </w:rPr>
              <w:t>Оцінка в балах</w:t>
            </w:r>
          </w:p>
        </w:tc>
        <w:tc>
          <w:tcPr>
            <w:tcW w:w="1724"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15pt"/>
                <w:sz w:val="24"/>
                <w:szCs w:val="24"/>
              </w:rPr>
              <w:t>Оцінка за національною шкалою</w:t>
            </w:r>
          </w:p>
        </w:tc>
      </w:tr>
      <w:tr w:rsidR="00EF30B3" w:rsidRPr="003D7DBF" w:rsidTr="003D7DBF">
        <w:trPr>
          <w:trHeight w:hRule="exact" w:val="2026"/>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5pt"/>
                <w:sz w:val="24"/>
                <w:szCs w:val="24"/>
              </w:rPr>
              <w:t>А</w:t>
            </w:r>
          </w:p>
        </w:tc>
        <w:tc>
          <w:tcPr>
            <w:tcW w:w="5812" w:type="dxa"/>
            <w:shd w:val="clear" w:color="auto" w:fill="FFFFFF"/>
          </w:tcPr>
          <w:p w:rsidR="00EF30B3" w:rsidRPr="003D7DBF" w:rsidRDefault="00EF30B3" w:rsidP="00EF30B3">
            <w:pPr>
              <w:pStyle w:val="20"/>
              <w:shd w:val="clear" w:color="auto" w:fill="auto"/>
              <w:ind w:left="132" w:right="132"/>
              <w:jc w:val="both"/>
              <w:rPr>
                <w:sz w:val="24"/>
                <w:szCs w:val="24"/>
              </w:rPr>
            </w:pPr>
            <w:r w:rsidRPr="003D7DBF">
              <w:rPr>
                <w:sz w:val="24"/>
                <w:szCs w:val="24"/>
              </w:rPr>
              <w:t xml:space="preserve">Оцінка </w:t>
            </w:r>
            <w:r w:rsidRPr="003D7DBF">
              <w:rPr>
                <w:rStyle w:val="a5"/>
                <w:sz w:val="24"/>
                <w:szCs w:val="24"/>
              </w:rPr>
              <w:t>«відмінно» (за системою ECTS – А)</w:t>
            </w:r>
            <w:r w:rsidRPr="003D7DBF">
              <w:rPr>
                <w:sz w:val="24"/>
                <w:szCs w:val="24"/>
              </w:rPr>
              <w:t xml:space="preserve"> може бути виставлена лише у тому випадку, якщо на захисті студент показав вільне і глибоке володіння змістом бакалаврської дипломної роботи, використовував ілюстративний матеріал, точно і повно відповів на всі задані запитання членів ЕК, вільно володіє науковою термінологією.</w:t>
            </w: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90-100</w:t>
            </w:r>
          </w:p>
        </w:tc>
        <w:tc>
          <w:tcPr>
            <w:tcW w:w="1724"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15pt"/>
                <w:sz w:val="24"/>
                <w:szCs w:val="24"/>
              </w:rPr>
              <w:t>Відмінно</w:t>
            </w:r>
          </w:p>
        </w:tc>
      </w:tr>
      <w:tr w:rsidR="00EF30B3" w:rsidRPr="003D7DBF" w:rsidTr="003D7DBF">
        <w:trPr>
          <w:trHeight w:hRule="exact" w:val="2551"/>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5pt"/>
                <w:sz w:val="24"/>
                <w:szCs w:val="24"/>
              </w:rPr>
              <w:t>В</w:t>
            </w:r>
          </w:p>
        </w:tc>
        <w:tc>
          <w:tcPr>
            <w:tcW w:w="5812" w:type="dxa"/>
            <w:shd w:val="clear" w:color="auto" w:fill="FFFFFF"/>
          </w:tcPr>
          <w:p w:rsidR="00EF30B3" w:rsidRPr="003D7DBF" w:rsidRDefault="00EF30B3" w:rsidP="003D7DBF">
            <w:pPr>
              <w:pStyle w:val="20"/>
              <w:shd w:val="clear" w:color="auto" w:fill="auto"/>
              <w:ind w:left="132" w:right="132"/>
              <w:jc w:val="both"/>
              <w:rPr>
                <w:sz w:val="24"/>
                <w:szCs w:val="24"/>
              </w:rPr>
            </w:pPr>
            <w:r w:rsidRPr="003D7DBF">
              <w:rPr>
                <w:sz w:val="24"/>
                <w:szCs w:val="24"/>
              </w:rPr>
              <w:t xml:space="preserve">Оцінка </w:t>
            </w:r>
            <w:r w:rsidRPr="003D7DBF">
              <w:rPr>
                <w:rStyle w:val="a5"/>
                <w:sz w:val="24"/>
                <w:szCs w:val="24"/>
              </w:rPr>
              <w:t>«добре» (за системою ECTS –В)</w:t>
            </w:r>
            <w:r w:rsidRPr="003D7DBF">
              <w:rPr>
                <w:sz w:val="24"/>
                <w:szCs w:val="24"/>
              </w:rPr>
              <w:t xml:space="preserve"> виставляється, якщо на захисті студент показав вільне і глибоке володіння змістом бакалаврської дипломної роботи, використовував ілюстративний матеріал, проте, при відповіді на запитання студентом, були допущені незначні неточності, які він не зумів повністю виправити після того, як на них було звернуто увагу з боку членів ЕК, в основному володіє науковою термінологією.</w:t>
            </w: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80-89</w:t>
            </w:r>
          </w:p>
        </w:tc>
        <w:tc>
          <w:tcPr>
            <w:tcW w:w="1724" w:type="dxa"/>
            <w:vMerge w:val="restart"/>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15pt"/>
                <w:sz w:val="24"/>
                <w:szCs w:val="24"/>
              </w:rPr>
              <w:t>Добре</w:t>
            </w:r>
          </w:p>
        </w:tc>
      </w:tr>
      <w:tr w:rsidR="00EF30B3" w:rsidRPr="003D7DBF" w:rsidTr="003D7DBF">
        <w:trPr>
          <w:trHeight w:hRule="exact" w:val="3267"/>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5pt"/>
                <w:sz w:val="24"/>
                <w:szCs w:val="24"/>
              </w:rPr>
              <w:t>С</w:t>
            </w:r>
          </w:p>
        </w:tc>
        <w:tc>
          <w:tcPr>
            <w:tcW w:w="5812" w:type="dxa"/>
            <w:shd w:val="clear" w:color="auto" w:fill="FFFFFF"/>
          </w:tcPr>
          <w:p w:rsidR="00EF30B3" w:rsidRPr="003D7DBF" w:rsidRDefault="00EF30B3" w:rsidP="003D7DBF">
            <w:pPr>
              <w:pStyle w:val="20"/>
              <w:shd w:val="clear" w:color="auto" w:fill="auto"/>
              <w:ind w:left="132" w:right="132"/>
              <w:jc w:val="both"/>
              <w:rPr>
                <w:sz w:val="24"/>
                <w:szCs w:val="24"/>
              </w:rPr>
            </w:pPr>
            <w:r w:rsidRPr="003D7DBF">
              <w:rPr>
                <w:sz w:val="24"/>
                <w:szCs w:val="24"/>
              </w:rPr>
              <w:t xml:space="preserve">Оцінка </w:t>
            </w:r>
            <w:r w:rsidRPr="003D7DBF">
              <w:rPr>
                <w:rStyle w:val="a5"/>
                <w:sz w:val="24"/>
                <w:szCs w:val="24"/>
              </w:rPr>
              <w:t>«добре» (за системою ECTS –С)</w:t>
            </w:r>
            <w:r w:rsidRPr="003D7DBF">
              <w:rPr>
                <w:sz w:val="24"/>
                <w:szCs w:val="24"/>
              </w:rPr>
              <w:t xml:space="preserve"> виставляється, якщо на захисті студент показав, що він в основному володіє змістом бакалаврської дипломної роботи, під час доповіді використовувався ілюстративний матеріал, при відповіді на запитання студентом були допущені незначні неточності, які він однак так і не зумів повністю виправити після того, як на них було звернуто увагу з боку членів ЕК, в основному володіє науковою термінологією. Під час доповіді використовувався ілюстративний матеріал, в якому теж були деякі помилки та неточності.</w:t>
            </w: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70-79</w:t>
            </w:r>
          </w:p>
        </w:tc>
        <w:tc>
          <w:tcPr>
            <w:tcW w:w="1724" w:type="dxa"/>
            <w:vMerge/>
            <w:shd w:val="clear" w:color="auto" w:fill="FFFFFF"/>
            <w:vAlign w:val="center"/>
          </w:tcPr>
          <w:p w:rsidR="00EF30B3" w:rsidRPr="003D7DBF" w:rsidRDefault="00EF30B3" w:rsidP="00EF30B3">
            <w:pPr>
              <w:jc w:val="center"/>
              <w:rPr>
                <w:rFonts w:ascii="Times New Roman" w:hAnsi="Times New Roman" w:cs="Times New Roman"/>
              </w:rPr>
            </w:pPr>
          </w:p>
        </w:tc>
      </w:tr>
      <w:tr w:rsidR="00EF30B3" w:rsidRPr="003D7DBF" w:rsidTr="003D7DBF">
        <w:trPr>
          <w:trHeight w:hRule="exact" w:val="2832"/>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5pt"/>
                <w:sz w:val="24"/>
                <w:szCs w:val="24"/>
              </w:rPr>
              <w:lastRenderedPageBreak/>
              <w:t>D</w:t>
            </w:r>
          </w:p>
        </w:tc>
        <w:tc>
          <w:tcPr>
            <w:tcW w:w="5812" w:type="dxa"/>
            <w:shd w:val="clear" w:color="auto" w:fill="FFFFFF"/>
          </w:tcPr>
          <w:p w:rsidR="00EF30B3" w:rsidRPr="003D7DBF" w:rsidRDefault="00EF30B3" w:rsidP="003D7DBF">
            <w:pPr>
              <w:pStyle w:val="20"/>
              <w:shd w:val="clear" w:color="auto" w:fill="auto"/>
              <w:ind w:left="132" w:right="132"/>
              <w:jc w:val="both"/>
              <w:rPr>
                <w:sz w:val="24"/>
                <w:szCs w:val="24"/>
              </w:rPr>
            </w:pPr>
            <w:r w:rsidRPr="003D7DBF">
              <w:rPr>
                <w:sz w:val="24"/>
                <w:szCs w:val="24"/>
              </w:rPr>
              <w:t xml:space="preserve">Оцінка </w:t>
            </w:r>
            <w:r w:rsidRPr="003D7DBF">
              <w:rPr>
                <w:rStyle w:val="a5"/>
                <w:sz w:val="24"/>
                <w:szCs w:val="24"/>
              </w:rPr>
              <w:t xml:space="preserve">«задовільно» (за системою ECTS – </w:t>
            </w:r>
            <w:r w:rsidRPr="003D7DBF">
              <w:rPr>
                <w:rStyle w:val="a5"/>
                <w:sz w:val="24"/>
                <w:szCs w:val="24"/>
                <w:lang w:val="en-US"/>
              </w:rPr>
              <w:t>D</w:t>
            </w:r>
            <w:r w:rsidRPr="003D7DBF">
              <w:rPr>
                <w:rStyle w:val="a5"/>
                <w:sz w:val="24"/>
                <w:szCs w:val="24"/>
              </w:rPr>
              <w:t>)</w:t>
            </w:r>
            <w:r w:rsidRPr="003D7DBF">
              <w:rPr>
                <w:sz w:val="24"/>
                <w:szCs w:val="24"/>
              </w:rPr>
              <w:t xml:space="preserve"> виставляється, якщо на захисті студент показав, що він в основному володіє змістом бакалаврської дипломної роботи, проте, доповідь містить несуттєві помилки. Під час доповіді використовувався ілюстративний матеріал, в якому теж були деякі помилки та неточності. Відповіді на запитання членів ЕК були не зовсім чітко сформульовані. Деякі наукові терміни студент вживав не за їх точним призначенням.</w:t>
            </w: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60-69</w:t>
            </w:r>
          </w:p>
        </w:tc>
        <w:tc>
          <w:tcPr>
            <w:tcW w:w="1724" w:type="dxa"/>
            <w:vMerge w:val="restart"/>
            <w:shd w:val="clear" w:color="auto" w:fill="FFFFFF"/>
            <w:vAlign w:val="center"/>
          </w:tcPr>
          <w:p w:rsidR="00EF30B3" w:rsidRPr="003D7DBF" w:rsidRDefault="00EF30B3" w:rsidP="00EF30B3">
            <w:pPr>
              <w:pStyle w:val="20"/>
              <w:shd w:val="clear" w:color="auto" w:fill="auto"/>
              <w:ind w:left="300"/>
              <w:jc w:val="center"/>
              <w:rPr>
                <w:sz w:val="24"/>
                <w:szCs w:val="24"/>
              </w:rPr>
            </w:pPr>
            <w:r w:rsidRPr="003D7DBF">
              <w:rPr>
                <w:rStyle w:val="2115pt"/>
                <w:sz w:val="24"/>
                <w:szCs w:val="24"/>
              </w:rPr>
              <w:t>Задовільно</w:t>
            </w:r>
          </w:p>
        </w:tc>
      </w:tr>
      <w:tr w:rsidR="00EF30B3" w:rsidRPr="003D7DBF" w:rsidTr="003D7DBF">
        <w:trPr>
          <w:trHeight w:hRule="exact" w:val="3409"/>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5pt"/>
                <w:sz w:val="24"/>
                <w:szCs w:val="24"/>
              </w:rPr>
              <w:t>Е</w:t>
            </w:r>
          </w:p>
        </w:tc>
        <w:tc>
          <w:tcPr>
            <w:tcW w:w="5812" w:type="dxa"/>
            <w:shd w:val="clear" w:color="auto" w:fill="FFFFFF"/>
          </w:tcPr>
          <w:p w:rsidR="00EF30B3" w:rsidRPr="003D7DBF" w:rsidRDefault="00EF30B3" w:rsidP="003D7DBF">
            <w:pPr>
              <w:pStyle w:val="20"/>
              <w:shd w:val="clear" w:color="auto" w:fill="auto"/>
              <w:ind w:left="132" w:right="132"/>
              <w:jc w:val="both"/>
              <w:rPr>
                <w:sz w:val="24"/>
                <w:szCs w:val="24"/>
              </w:rPr>
            </w:pPr>
            <w:r w:rsidRPr="003D7DBF">
              <w:rPr>
                <w:sz w:val="24"/>
                <w:szCs w:val="24"/>
              </w:rPr>
              <w:t xml:space="preserve">Оцінка </w:t>
            </w:r>
            <w:r w:rsidRPr="003D7DBF">
              <w:rPr>
                <w:rStyle w:val="a5"/>
                <w:sz w:val="24"/>
                <w:szCs w:val="24"/>
              </w:rPr>
              <w:t>«задовільно» (за системою ECTS – Е)</w:t>
            </w:r>
            <w:r w:rsidRPr="003D7DBF">
              <w:rPr>
                <w:sz w:val="24"/>
                <w:szCs w:val="24"/>
              </w:rPr>
              <w:t xml:space="preserve"> виставляється, якщо на захисті студент показав, що він в основному володіє змістом бакалаврської дипломної роботи, проте, доповідь була побудована нелогічно і містить помилки. Під час доповіді використовувався ілюстративний матеріал, в якому теж були деякі помилки та неточності і при коментуванні якого студент наражався на певні труднощі, що важко долав. Відповіді на запитання членів ЕК були нечітко сформульовані. Деякі наукові терміни студент </w:t>
            </w:r>
            <w:r w:rsidR="003D7DBF">
              <w:rPr>
                <w:sz w:val="24"/>
                <w:szCs w:val="24"/>
              </w:rPr>
              <w:t>використовував</w:t>
            </w:r>
            <w:r w:rsidRPr="003D7DBF">
              <w:rPr>
                <w:sz w:val="24"/>
                <w:szCs w:val="24"/>
              </w:rPr>
              <w:t xml:space="preserve"> не за їх точним призначенням.</w:t>
            </w: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50-59</w:t>
            </w:r>
          </w:p>
        </w:tc>
        <w:tc>
          <w:tcPr>
            <w:tcW w:w="1724" w:type="dxa"/>
            <w:vMerge/>
            <w:shd w:val="clear" w:color="auto" w:fill="FFFFFF"/>
            <w:vAlign w:val="center"/>
          </w:tcPr>
          <w:p w:rsidR="00EF30B3" w:rsidRPr="003D7DBF" w:rsidRDefault="00EF30B3" w:rsidP="00EF30B3">
            <w:pPr>
              <w:jc w:val="center"/>
              <w:rPr>
                <w:rFonts w:ascii="Times New Roman" w:hAnsi="Times New Roman" w:cs="Times New Roman"/>
              </w:rPr>
            </w:pPr>
          </w:p>
        </w:tc>
      </w:tr>
      <w:tr w:rsidR="00EF30B3" w:rsidRPr="003D7DBF" w:rsidTr="00EF30B3">
        <w:trPr>
          <w:trHeight w:hRule="exact" w:val="1368"/>
        </w:trPr>
        <w:tc>
          <w:tcPr>
            <w:tcW w:w="1286" w:type="dxa"/>
            <w:shd w:val="clear" w:color="auto" w:fill="FFFFFF"/>
            <w:vAlign w:val="center"/>
          </w:tcPr>
          <w:p w:rsidR="00EF30B3" w:rsidRPr="003D7DBF" w:rsidRDefault="00EF30B3" w:rsidP="00EF30B3">
            <w:pPr>
              <w:pStyle w:val="20"/>
              <w:shd w:val="clear" w:color="auto" w:fill="auto"/>
              <w:jc w:val="center"/>
              <w:rPr>
                <w:sz w:val="24"/>
                <w:szCs w:val="24"/>
              </w:rPr>
            </w:pPr>
            <w:r w:rsidRPr="003D7DBF">
              <w:rPr>
                <w:rStyle w:val="215pt"/>
                <w:sz w:val="24"/>
                <w:szCs w:val="24"/>
              </w:rPr>
              <w:t>Fх</w:t>
            </w:r>
          </w:p>
        </w:tc>
        <w:tc>
          <w:tcPr>
            <w:tcW w:w="5812" w:type="dxa"/>
            <w:vMerge w:val="restart"/>
            <w:shd w:val="clear" w:color="auto" w:fill="FFFFFF"/>
          </w:tcPr>
          <w:p w:rsidR="00EF30B3" w:rsidRPr="003D7DBF" w:rsidRDefault="00EF30B3" w:rsidP="00EF30B3">
            <w:pPr>
              <w:pStyle w:val="a4"/>
              <w:ind w:left="132" w:right="132"/>
              <w:rPr>
                <w:lang w:val="uk-UA"/>
              </w:rPr>
            </w:pPr>
            <w:r w:rsidRPr="003D7DBF">
              <w:rPr>
                <w:lang w:val="uk-UA"/>
              </w:rPr>
              <w:t xml:space="preserve">Оцінка </w:t>
            </w:r>
            <w:r w:rsidRPr="003D7DBF">
              <w:rPr>
                <w:rStyle w:val="a5"/>
                <w:lang w:val="uk-UA"/>
              </w:rPr>
              <w:t>«незадовільно»</w:t>
            </w:r>
            <w:r w:rsidRPr="003D7DBF">
              <w:rPr>
                <w:lang w:val="uk-UA"/>
              </w:rPr>
              <w:t xml:space="preserve"> виставляється, якщо на захисті студент показав, що він не володіє частиною змісту бакалаврської дипломної роботи, його доповідь нелогічна і містить серйозні помилки, а ряд висновків неправильно обґрунтовуються чи взагалі є неправильними. Під час доповіді використовувався ілюстративний матеріал, але змістовно прокоментувати його студент не міг. Відповіді на запитання членів ЕК були нечіткими і поверховими. Знання наукових термінів незадовільне</w:t>
            </w:r>
            <w:r w:rsidR="003D7DBF">
              <w:rPr>
                <w:lang w:val="uk-UA"/>
              </w:rPr>
              <w:t>.</w:t>
            </w:r>
          </w:p>
          <w:p w:rsidR="00EF30B3" w:rsidRPr="003D7DBF" w:rsidRDefault="00EF30B3" w:rsidP="00EF30B3">
            <w:pPr>
              <w:pStyle w:val="20"/>
              <w:shd w:val="clear" w:color="auto" w:fill="auto"/>
              <w:ind w:left="132" w:right="132"/>
              <w:jc w:val="both"/>
              <w:rPr>
                <w:sz w:val="24"/>
                <w:szCs w:val="24"/>
              </w:rPr>
            </w:pP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35-49</w:t>
            </w:r>
          </w:p>
        </w:tc>
        <w:tc>
          <w:tcPr>
            <w:tcW w:w="1724" w:type="dxa"/>
            <w:vMerge w:val="restart"/>
            <w:shd w:val="clear" w:color="auto" w:fill="FFFFFF"/>
            <w:vAlign w:val="center"/>
          </w:tcPr>
          <w:p w:rsidR="00EF30B3" w:rsidRPr="003D7DBF" w:rsidRDefault="00EF30B3" w:rsidP="00EF30B3">
            <w:pPr>
              <w:pStyle w:val="20"/>
              <w:shd w:val="clear" w:color="auto" w:fill="auto"/>
              <w:ind w:left="160"/>
              <w:jc w:val="center"/>
              <w:rPr>
                <w:sz w:val="24"/>
                <w:szCs w:val="24"/>
              </w:rPr>
            </w:pPr>
            <w:r w:rsidRPr="003D7DBF">
              <w:rPr>
                <w:rStyle w:val="2115pt"/>
                <w:sz w:val="24"/>
                <w:szCs w:val="24"/>
              </w:rPr>
              <w:t>Н</w:t>
            </w:r>
            <w:bookmarkStart w:id="0" w:name="_GoBack"/>
            <w:bookmarkEnd w:id="0"/>
            <w:r w:rsidRPr="003D7DBF">
              <w:rPr>
                <w:rStyle w:val="2115pt"/>
                <w:sz w:val="24"/>
                <w:szCs w:val="24"/>
              </w:rPr>
              <w:t>езадовільно</w:t>
            </w:r>
          </w:p>
        </w:tc>
      </w:tr>
      <w:tr w:rsidR="00EF30B3" w:rsidRPr="003D7DBF" w:rsidTr="003D7DBF">
        <w:trPr>
          <w:trHeight w:hRule="exact" w:val="1449"/>
        </w:trPr>
        <w:tc>
          <w:tcPr>
            <w:tcW w:w="1286" w:type="dxa"/>
            <w:shd w:val="clear" w:color="auto" w:fill="FFFFFF"/>
            <w:vAlign w:val="center"/>
          </w:tcPr>
          <w:p w:rsidR="00EF30B3" w:rsidRPr="003D7DBF" w:rsidRDefault="003D7DBF" w:rsidP="00EF30B3">
            <w:pPr>
              <w:pStyle w:val="20"/>
              <w:shd w:val="clear" w:color="auto" w:fill="auto"/>
              <w:jc w:val="center"/>
              <w:rPr>
                <w:b/>
                <w:sz w:val="24"/>
                <w:szCs w:val="24"/>
                <w:lang w:val="en-US"/>
              </w:rPr>
            </w:pPr>
            <w:r w:rsidRPr="003D7DBF">
              <w:rPr>
                <w:b/>
                <w:sz w:val="24"/>
                <w:szCs w:val="24"/>
                <w:lang w:val="en-US"/>
              </w:rPr>
              <w:t>F</w:t>
            </w:r>
          </w:p>
        </w:tc>
        <w:tc>
          <w:tcPr>
            <w:tcW w:w="5812" w:type="dxa"/>
            <w:vMerge/>
            <w:shd w:val="clear" w:color="auto" w:fill="FFFFFF"/>
          </w:tcPr>
          <w:p w:rsidR="00EF30B3" w:rsidRPr="003D7DBF" w:rsidRDefault="00EF30B3" w:rsidP="00EF30B3">
            <w:pPr>
              <w:pStyle w:val="20"/>
              <w:shd w:val="clear" w:color="auto" w:fill="auto"/>
              <w:jc w:val="both"/>
              <w:rPr>
                <w:sz w:val="24"/>
                <w:szCs w:val="24"/>
              </w:rPr>
            </w:pPr>
          </w:p>
        </w:tc>
        <w:tc>
          <w:tcPr>
            <w:tcW w:w="1075" w:type="dxa"/>
            <w:shd w:val="clear" w:color="auto" w:fill="FFFFFF"/>
            <w:vAlign w:val="center"/>
          </w:tcPr>
          <w:p w:rsidR="00EF30B3" w:rsidRPr="003D7DBF" w:rsidRDefault="00EF30B3" w:rsidP="00EF30B3">
            <w:pPr>
              <w:pStyle w:val="20"/>
              <w:shd w:val="clear" w:color="auto" w:fill="auto"/>
              <w:ind w:right="280"/>
              <w:jc w:val="right"/>
              <w:rPr>
                <w:sz w:val="24"/>
                <w:szCs w:val="24"/>
              </w:rPr>
            </w:pPr>
            <w:r w:rsidRPr="003D7DBF">
              <w:rPr>
                <w:rStyle w:val="2115pt"/>
                <w:sz w:val="24"/>
                <w:szCs w:val="24"/>
              </w:rPr>
              <w:t>1-34</w:t>
            </w:r>
          </w:p>
        </w:tc>
        <w:tc>
          <w:tcPr>
            <w:tcW w:w="1724" w:type="dxa"/>
            <w:vMerge/>
            <w:shd w:val="clear" w:color="auto" w:fill="FFFFFF"/>
          </w:tcPr>
          <w:p w:rsidR="00EF30B3" w:rsidRPr="003D7DBF" w:rsidRDefault="00EF30B3" w:rsidP="00EF30B3">
            <w:pPr>
              <w:rPr>
                <w:rFonts w:ascii="Times New Roman" w:hAnsi="Times New Roman" w:cs="Times New Roman"/>
              </w:rPr>
            </w:pPr>
          </w:p>
        </w:tc>
      </w:tr>
    </w:tbl>
    <w:p w:rsidR="00010A88" w:rsidRPr="003D7DBF" w:rsidRDefault="00010A88" w:rsidP="00EF30B3">
      <w:pPr>
        <w:pStyle w:val="10"/>
        <w:keepNext/>
        <w:keepLines/>
        <w:shd w:val="clear" w:color="auto" w:fill="auto"/>
        <w:spacing w:line="260" w:lineRule="exact"/>
        <w:jc w:val="center"/>
        <w:rPr>
          <w:sz w:val="24"/>
          <w:szCs w:val="24"/>
        </w:rPr>
      </w:pPr>
    </w:p>
    <w:sectPr w:rsidR="00010A88" w:rsidRPr="003D7DBF" w:rsidSect="003D7DBF">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C4C" w:rsidRDefault="00045C4C">
      <w:r>
        <w:separator/>
      </w:r>
    </w:p>
  </w:endnote>
  <w:endnote w:type="continuationSeparator" w:id="1">
    <w:p w:rsidR="00045C4C" w:rsidRDefault="00045C4C">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C4C" w:rsidRDefault="00045C4C"/>
  </w:footnote>
  <w:footnote w:type="continuationSeparator" w:id="1">
    <w:p w:rsidR="00045C4C" w:rsidRDefault="00045C4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010A88"/>
    <w:rsid w:val="00010A88"/>
    <w:rsid w:val="00045C4C"/>
    <w:rsid w:val="003D7DBF"/>
    <w:rsid w:val="004575C8"/>
    <w:rsid w:val="007055D6"/>
    <w:rsid w:val="00882F13"/>
    <w:rsid w:val="00EF3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55D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055D6"/>
    <w:rPr>
      <w:color w:val="0066CC"/>
      <w:u w:val="single"/>
    </w:rPr>
  </w:style>
  <w:style w:type="character" w:customStyle="1" w:styleId="1">
    <w:name w:val="Заголовок №1_"/>
    <w:basedOn w:val="a0"/>
    <w:link w:val="10"/>
    <w:rsid w:val="007055D6"/>
    <w:rPr>
      <w:rFonts w:ascii="Times New Roman" w:eastAsia="Times New Roman" w:hAnsi="Times New Roman" w:cs="Times New Roman"/>
      <w:b/>
      <w:bCs/>
      <w:i w:val="0"/>
      <w:iCs w:val="0"/>
      <w:smallCaps w:val="0"/>
      <w:strike w:val="0"/>
      <w:sz w:val="26"/>
      <w:szCs w:val="26"/>
      <w:u w:val="none"/>
    </w:rPr>
  </w:style>
  <w:style w:type="character" w:customStyle="1" w:styleId="2">
    <w:name w:val="Основний текст (2)_"/>
    <w:basedOn w:val="a0"/>
    <w:link w:val="20"/>
    <w:rsid w:val="007055D6"/>
    <w:rPr>
      <w:rFonts w:ascii="Times New Roman" w:eastAsia="Times New Roman" w:hAnsi="Times New Roman" w:cs="Times New Roman"/>
      <w:b w:val="0"/>
      <w:bCs w:val="0"/>
      <w:i w:val="0"/>
      <w:iCs w:val="0"/>
      <w:smallCaps w:val="0"/>
      <w:strike w:val="0"/>
      <w:sz w:val="20"/>
      <w:szCs w:val="20"/>
      <w:u w:val="none"/>
    </w:rPr>
  </w:style>
  <w:style w:type="character" w:customStyle="1" w:styleId="2115pt">
    <w:name w:val="Основний текст (2) + 11;5 pt;Напівжирний"/>
    <w:basedOn w:val="2"/>
    <w:rsid w:val="007055D6"/>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15pt">
    <w:name w:val="Основний текст (2) + 15 pt;Напівжирний"/>
    <w:basedOn w:val="2"/>
    <w:rsid w:val="007055D6"/>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character" w:customStyle="1" w:styleId="2105pt">
    <w:name w:val="Основний текст (2) + 10;5 pt"/>
    <w:basedOn w:val="2"/>
    <w:rsid w:val="007055D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Заголовок №1"/>
    <w:basedOn w:val="a"/>
    <w:link w:val="1"/>
    <w:rsid w:val="007055D6"/>
    <w:pPr>
      <w:shd w:val="clear" w:color="auto" w:fill="FFFFFF"/>
      <w:spacing w:line="0" w:lineRule="atLeast"/>
      <w:outlineLvl w:val="0"/>
    </w:pPr>
    <w:rPr>
      <w:rFonts w:ascii="Times New Roman" w:eastAsia="Times New Roman" w:hAnsi="Times New Roman" w:cs="Times New Roman"/>
      <w:b/>
      <w:bCs/>
      <w:sz w:val="26"/>
      <w:szCs w:val="26"/>
    </w:rPr>
  </w:style>
  <w:style w:type="paragraph" w:customStyle="1" w:styleId="20">
    <w:name w:val="Основний текст (2)"/>
    <w:basedOn w:val="a"/>
    <w:link w:val="2"/>
    <w:rsid w:val="007055D6"/>
    <w:pPr>
      <w:shd w:val="clear" w:color="auto" w:fill="FFFFFF"/>
    </w:pPr>
    <w:rPr>
      <w:rFonts w:ascii="Times New Roman" w:eastAsia="Times New Roman" w:hAnsi="Times New Roman" w:cs="Times New Roman"/>
      <w:sz w:val="20"/>
      <w:szCs w:val="20"/>
    </w:rPr>
  </w:style>
  <w:style w:type="paragraph" w:styleId="a4">
    <w:name w:val="Normal (Web)"/>
    <w:basedOn w:val="a"/>
    <w:uiPriority w:val="99"/>
    <w:semiHidden/>
    <w:unhideWhenUsed/>
    <w:rsid w:val="00EF30B3"/>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5">
    <w:name w:val="Strong"/>
    <w:basedOn w:val="a0"/>
    <w:uiPriority w:val="22"/>
    <w:qFormat/>
    <w:rsid w:val="00EF30B3"/>
    <w:rPr>
      <w:b/>
      <w:bCs/>
    </w:rPr>
  </w:style>
  <w:style w:type="character" w:styleId="a6">
    <w:name w:val="Emphasis"/>
    <w:basedOn w:val="a0"/>
    <w:uiPriority w:val="20"/>
    <w:qFormat/>
    <w:rsid w:val="00EF30B3"/>
    <w:rPr>
      <w:i/>
      <w:iCs/>
    </w:rPr>
  </w:style>
</w:styles>
</file>

<file path=word/webSettings.xml><?xml version="1.0" encoding="utf-8"?>
<w:webSettings xmlns:r="http://schemas.openxmlformats.org/officeDocument/2006/relationships" xmlns:w="http://schemas.openxmlformats.org/wordprocessingml/2006/main">
  <w:divs>
    <w:div w:id="993334544">
      <w:bodyDiv w:val="1"/>
      <w:marLeft w:val="0"/>
      <w:marRight w:val="0"/>
      <w:marTop w:val="0"/>
      <w:marBottom w:val="0"/>
      <w:divBdr>
        <w:top w:val="none" w:sz="0" w:space="0" w:color="auto"/>
        <w:left w:val="none" w:sz="0" w:space="0" w:color="auto"/>
        <w:bottom w:val="none" w:sz="0" w:space="0" w:color="auto"/>
        <w:right w:val="none" w:sz="0" w:space="0" w:color="auto"/>
      </w:divBdr>
    </w:div>
    <w:div w:id="1104420531">
      <w:bodyDiv w:val="1"/>
      <w:marLeft w:val="0"/>
      <w:marRight w:val="0"/>
      <w:marTop w:val="0"/>
      <w:marBottom w:val="0"/>
      <w:divBdr>
        <w:top w:val="none" w:sz="0" w:space="0" w:color="auto"/>
        <w:left w:val="none" w:sz="0" w:space="0" w:color="auto"/>
        <w:bottom w:val="none" w:sz="0" w:space="0" w:color="auto"/>
        <w:right w:val="none" w:sz="0" w:space="0" w:color="auto"/>
      </w:divBdr>
    </w:div>
    <w:div w:id="1226643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Edward</cp:lastModifiedBy>
  <cp:revision>2</cp:revision>
  <dcterms:created xsi:type="dcterms:W3CDTF">2020-06-12T19:54:00Z</dcterms:created>
  <dcterms:modified xsi:type="dcterms:W3CDTF">2020-06-12T19:54:00Z</dcterms:modified>
</cp:coreProperties>
</file>