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3B" w:rsidRPr="00030DF7" w:rsidRDefault="00C57210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1;visibility:visible">
            <v:imagedata r:id="rId5" o:title=""/>
          </v:shape>
        </w:pict>
      </w:r>
      <w:r w:rsidR="00322C3B" w:rsidRPr="00030DF7">
        <w:rPr>
          <w:b/>
          <w:sz w:val="28"/>
          <w:szCs w:val="28"/>
        </w:rPr>
        <w:t>СИЛАБУС НАВЧАЛЬНОЇ ДИСЦИПЛІНИ</w:t>
      </w:r>
    </w:p>
    <w:p w:rsidR="00322C3B" w:rsidRPr="00030DF7" w:rsidRDefault="00322C3B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ОБЛІК В ДЕРЖАВНОМУ СЕКТОР</w:t>
      </w:r>
      <w:r w:rsidR="009938A5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ЕКОНОМІКИ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22C3B" w:rsidRPr="005514AC" w:rsidRDefault="00322C3B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кредитів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657"/>
      </w:tblGrid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322C3B" w:rsidRPr="00804478" w:rsidRDefault="00C57210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322C3B" w:rsidRPr="00804478">
              <w:rPr>
                <w:bCs/>
                <w:sz w:val="28"/>
                <w:szCs w:val="28"/>
              </w:rPr>
              <w:t>1 Обл</w:t>
            </w:r>
            <w:bookmarkStart w:id="0" w:name="_GoBack"/>
            <w:bookmarkEnd w:id="0"/>
            <w:r w:rsidR="00322C3B" w:rsidRPr="00804478">
              <w:rPr>
                <w:bCs/>
                <w:sz w:val="28"/>
                <w:szCs w:val="28"/>
              </w:rPr>
              <w:t>ік і оподаткування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322C3B" w:rsidRPr="00804478" w:rsidRDefault="00C57210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>
              <w:rPr>
                <w:bCs/>
                <w:sz w:val="28"/>
                <w:szCs w:val="28"/>
              </w:rPr>
              <w:t xml:space="preserve">  Бізнес, адміністрування та право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804478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Бонарев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322C3B" w:rsidRPr="00AC1556" w:rsidRDefault="00322C3B" w:rsidP="00AC15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="00AC1556" w:rsidRPr="005F7E0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https://accounting.chnu.edu.ua/pro-nas/kolektyv/bonarev-volodymyr-valeriiovych/</w:t>
              </w:r>
            </w:hyperlink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804478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</w:tcPr>
          <w:p w:rsidR="00322C3B" w:rsidRPr="00613C0F" w:rsidRDefault="00C57210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22C3B" w:rsidRPr="00613C0F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322C3B" w:rsidRPr="00804478" w:rsidTr="00804478">
        <w:tc>
          <w:tcPr>
            <w:tcW w:w="2864" w:type="dxa"/>
          </w:tcPr>
          <w:p w:rsidR="00322C3B" w:rsidRPr="00A043B3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A043B3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322C3B" w:rsidRPr="00A043B3" w:rsidRDefault="00C57210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moodle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chnu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course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php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?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id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=131</w:t>
              </w:r>
            </w:hyperlink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322C3B" w:rsidRPr="00804478" w:rsidRDefault="00322C3B" w:rsidP="00AC1556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вівторок</w:t>
            </w:r>
            <w:proofErr w:type="spellEnd"/>
            <w:r w:rsidRPr="00804478">
              <w:rPr>
                <w:bCs/>
                <w:sz w:val="28"/>
                <w:szCs w:val="28"/>
              </w:rPr>
              <w:t xml:space="preserve"> з 1</w:t>
            </w:r>
            <w:r w:rsidR="00AC1556">
              <w:rPr>
                <w:bCs/>
                <w:sz w:val="28"/>
                <w:szCs w:val="28"/>
              </w:rPr>
              <w:t>3</w:t>
            </w:r>
            <w:r w:rsidRPr="00804478">
              <w:rPr>
                <w:bCs/>
                <w:sz w:val="28"/>
                <w:szCs w:val="28"/>
              </w:rPr>
              <w:t xml:space="preserve">.00 до </w:t>
            </w:r>
            <w:r>
              <w:rPr>
                <w:bCs/>
                <w:sz w:val="28"/>
                <w:szCs w:val="28"/>
              </w:rPr>
              <w:t>1</w:t>
            </w:r>
            <w:r w:rsidR="00AC1556">
              <w:rPr>
                <w:bCs/>
                <w:sz w:val="28"/>
                <w:szCs w:val="28"/>
              </w:rPr>
              <w:t>4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322C3B" w:rsidRPr="005514AC" w:rsidRDefault="00322C3B" w:rsidP="007662FC">
      <w:pPr>
        <w:pStyle w:val="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322C3B" w:rsidRPr="005514AC" w:rsidRDefault="00322C3B" w:rsidP="00097882">
      <w:pPr>
        <w:spacing w:after="0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CC60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Облік в державному секторі економіки</w:t>
      </w:r>
      <w:r w:rsidRPr="00CC60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спрямована на формування у здобувачів освіти теоретичних знань та набуття практичних навичок щодо обліку в установах державного сектору економіки</w:t>
      </w:r>
      <w:r w:rsidRPr="00097882">
        <w:rPr>
          <w:rFonts w:ascii="Times New Roman" w:hAnsi="Times New Roman" w:cs="Times New Roman"/>
          <w:sz w:val="28"/>
          <w:szCs w:val="28"/>
        </w:rPr>
        <w:t>.</w:t>
      </w:r>
    </w:p>
    <w:p w:rsidR="00322C3B" w:rsidRPr="00E94625" w:rsidRDefault="00322C3B" w:rsidP="000978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25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«Облік в державному секторі економіки»: </w:t>
      </w:r>
      <w:r w:rsidRPr="00E94625">
        <w:rPr>
          <w:rFonts w:ascii="Times New Roman" w:hAnsi="Times New Roman" w:cs="Times New Roman"/>
          <w:spacing w:val="2"/>
          <w:sz w:val="28"/>
          <w:szCs w:val="28"/>
        </w:rPr>
        <w:t xml:space="preserve">оволодіння теоретичними знаннями та набуття практичних навичок з організації та ведення бухгалтерського обліку в державному секторі </w:t>
      </w:r>
      <w:r w:rsidRPr="00E94625">
        <w:rPr>
          <w:rFonts w:ascii="Times New Roman" w:hAnsi="Times New Roman" w:cs="Times New Roman"/>
          <w:sz w:val="28"/>
          <w:szCs w:val="28"/>
        </w:rPr>
        <w:t>для формування всебічного якісного інформаційного забезпечення у галузі управління та адміністрування, а також виконання здобувачем освітнього процесу своїх професійних обов’язків.</w:t>
      </w:r>
    </w:p>
    <w:p w:rsidR="00322C3B" w:rsidRDefault="00322C3B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322C3B" w:rsidRPr="00097882" w:rsidRDefault="00322C3B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322C3B" w:rsidRDefault="00322C3B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12"/>
      </w:tblGrid>
      <w:tr w:rsidR="00322C3B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322C3B" w:rsidRPr="00804478" w:rsidRDefault="00322C3B" w:rsidP="000978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ОРГАНІЗАЦІЙНІ ОСНОВИ БУХГАЛТЕРСЬКОГО ОБЛІКУ ТА ОБЛІК АКТИВІВ В УСТАНОВАХ ДЕРЖАВНОГО СЕКТОРУ</w:t>
            </w:r>
          </w:p>
        </w:tc>
      </w:tr>
      <w:tr w:rsidR="00322C3B" w:rsidRPr="00804478" w:rsidTr="00F15CED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</w:tcPr>
          <w:p w:rsidR="00322C3B" w:rsidRPr="00804478" w:rsidRDefault="00322C3B" w:rsidP="0009788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побудови бухгалтерського обліку в установах державного сектору</w:t>
            </w:r>
          </w:p>
        </w:tc>
      </w:tr>
      <w:tr w:rsidR="00322C3B" w:rsidRPr="00804478" w:rsidTr="00F15CED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</w:tcPr>
          <w:p w:rsidR="00322C3B" w:rsidRPr="00804478" w:rsidRDefault="00322C3B" w:rsidP="0009788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розпорядників бюджетних коштів та кошторис установ державного сектору</w:t>
            </w:r>
          </w:p>
        </w:tc>
      </w:tr>
      <w:tr w:rsidR="00322C3B" w:rsidRPr="00804478" w:rsidTr="00F15CED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</w:tcPr>
          <w:p w:rsidR="00322C3B" w:rsidRPr="00804478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Облік доходів і видатків в установах державного сектору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економіки 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</w:t>
            </w:r>
          </w:p>
        </w:tc>
        <w:tc>
          <w:tcPr>
            <w:tcW w:w="3801" w:type="pct"/>
            <w:vAlign w:val="center"/>
          </w:tcPr>
          <w:p w:rsidR="00322C3B" w:rsidRPr="00804478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Облік фінансово-розрахункових операцій в установах державного сектору економіки 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vAlign w:val="center"/>
          </w:tcPr>
          <w:p w:rsidR="00322C3B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Облік необоротних активів в установах державного сектору економіки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vAlign w:val="center"/>
          </w:tcPr>
          <w:p w:rsidR="00322C3B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Облік нематеріальних активів в установах державного сектору економіки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vAlign w:val="center"/>
          </w:tcPr>
          <w:p w:rsidR="00322C3B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Облік запасів в установах державного сектору економіки</w:t>
            </w:r>
          </w:p>
        </w:tc>
      </w:tr>
      <w:tr w:rsidR="00322C3B" w:rsidRPr="00804478" w:rsidTr="00AC1556">
        <w:trPr>
          <w:cantSplit/>
          <w:trHeight w:val="606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322C3B" w:rsidRPr="00804478" w:rsidRDefault="00322C3B" w:rsidP="00097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</w:rPr>
              <w:br w:type="page"/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ОБЛІК ЗОБОВ’ЯЗАНЬ, ВЛАСНОГО КАПІТАЛУ ТА ФІНАНСОВОГО РЕЗУЛЬТАТУ 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605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z w:val="28"/>
                <w:szCs w:val="28"/>
              </w:rPr>
              <w:t>Облік розрахунків з оплати праці, страхування та стипендій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установах державного сектору економіки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z w:val="28"/>
                <w:szCs w:val="28"/>
              </w:rPr>
              <w:t>Облік зобов’язань та виробничих витрат в установах державного сектору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економіки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Облік власного капіталу та фінансових результатів в установах державного сектору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економіки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11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z w:val="28"/>
                <w:szCs w:val="28"/>
              </w:rPr>
              <w:t>Інвентаризація та звітність в установах державного сектору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економіки</w:t>
            </w:r>
          </w:p>
        </w:tc>
      </w:tr>
    </w:tbl>
    <w:p w:rsidR="00322C3B" w:rsidRDefault="00322C3B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322C3B" w:rsidRPr="00097882" w:rsidRDefault="00AC1556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>
        <w:rPr>
          <w:b/>
          <w:color w:val="auto"/>
          <w:kern w:val="24"/>
          <w:sz w:val="28"/>
          <w:szCs w:val="28"/>
          <w:lang w:val="uk-UA"/>
        </w:rPr>
        <w:t xml:space="preserve">, ФОРМИ, </w:t>
      </w:r>
      <w:r w:rsidR="00322C3B" w:rsidRPr="00097882">
        <w:rPr>
          <w:b/>
          <w:color w:val="auto"/>
          <w:kern w:val="24"/>
          <w:sz w:val="28"/>
          <w:szCs w:val="28"/>
          <w:lang w:val="uk-UA"/>
        </w:rPr>
        <w:t>МЕТОДИ</w:t>
      </w:r>
      <w:r w:rsidR="00322C3B" w:rsidRPr="00097882">
        <w:rPr>
          <w:b/>
          <w:color w:val="auto"/>
          <w:kern w:val="24"/>
          <w:sz w:val="28"/>
          <w:szCs w:val="28"/>
        </w:rPr>
        <w:t xml:space="preserve"> </w:t>
      </w:r>
      <w:r>
        <w:rPr>
          <w:b/>
          <w:color w:val="auto"/>
          <w:kern w:val="24"/>
          <w:sz w:val="28"/>
          <w:szCs w:val="28"/>
          <w:lang w:val="uk-UA"/>
        </w:rPr>
        <w:t xml:space="preserve">ТА </w:t>
      </w:r>
      <w:r w:rsidRPr="00097882">
        <w:rPr>
          <w:b/>
          <w:color w:val="auto"/>
          <w:kern w:val="24"/>
          <w:sz w:val="28"/>
          <w:szCs w:val="28"/>
        </w:rPr>
        <w:t xml:space="preserve">ОСВІТНІ ТЕХНОЛОГІЇ </w:t>
      </w:r>
      <w:r w:rsidR="00322C3B" w:rsidRPr="00097882">
        <w:rPr>
          <w:b/>
          <w:color w:val="auto"/>
          <w:kern w:val="24"/>
          <w:sz w:val="28"/>
          <w:szCs w:val="28"/>
        </w:rPr>
        <w:t>НАВЧАННЯ</w:t>
      </w:r>
    </w:p>
    <w:bookmarkEnd w:id="1"/>
    <w:p w:rsidR="00322C3B" w:rsidRDefault="00322C3B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проєктна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322C3B" w:rsidRPr="00EB3310" w:rsidRDefault="00322C3B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322C3B" w:rsidRPr="00097882" w:rsidRDefault="00322C3B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322C3B" w:rsidRPr="00E10037" w:rsidRDefault="00322C3B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322C3B" w:rsidRDefault="00322C3B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color w:val="000000"/>
          <w:kern w:val="24"/>
          <w:sz w:val="28"/>
          <w:szCs w:val="28"/>
        </w:rPr>
        <w:t>екзамен.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322C3B" w:rsidRDefault="00322C3B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322C3B" w:rsidRPr="00DA68D4" w:rsidRDefault="00322C3B" w:rsidP="007662FC">
      <w:pPr>
        <w:pStyle w:val="a3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322C3B" w:rsidRPr="00B76FC8" w:rsidRDefault="00322C3B" w:rsidP="007662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322C3B" w:rsidRDefault="00322C3B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AC1556" w:rsidRDefault="00AC1556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AC1556" w:rsidRDefault="00AC1556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AC1556" w:rsidRDefault="00AC1556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322C3B" w:rsidRPr="005667A0" w:rsidRDefault="00322C3B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lastRenderedPageBreak/>
        <w:t>ПОЛІТИКА ЩОДО АКАДЕМІЧНОЇ ДОБРОЧЕСНОСТІ</w:t>
      </w:r>
    </w:p>
    <w:p w:rsidR="00322C3B" w:rsidRPr="005667A0" w:rsidRDefault="00322C3B" w:rsidP="0059620B">
      <w:pPr>
        <w:pStyle w:val="a5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322C3B" w:rsidRPr="005667A0" w:rsidRDefault="00322C3B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/>
          <w:spacing w:val="-4"/>
          <w:szCs w:val="28"/>
          <w:lang w:val="uk-UA"/>
        </w:rPr>
        <w:t>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9" w:history="1">
        <w:r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322C3B" w:rsidRPr="005667A0" w:rsidRDefault="00322C3B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322C3B" w:rsidRPr="007662FC" w:rsidRDefault="00322C3B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322C3B" w:rsidRPr="005667A0" w:rsidRDefault="00322C3B" w:rsidP="007662FC">
      <w:pPr>
        <w:pStyle w:val="a5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1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https://mof.gov.ua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3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https://nau.kiev.ua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4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a4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a4"/>
            <w:rFonts w:ascii="Times New Roman" w:hAnsi="Times New Roman"/>
            <w:sz w:val="28"/>
            <w:szCs w:val="28"/>
          </w:rPr>
          <w:t>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5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www.me.gov.ua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6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www.nbuv.gov.ua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7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http://www.ukrstat.gov.ua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8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59620B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9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322C3B" w:rsidRPr="00EB3310" w:rsidRDefault="00322C3B" w:rsidP="007662FC">
      <w:pPr>
        <w:pStyle w:val="a5"/>
        <w:tabs>
          <w:tab w:val="left" w:pos="0"/>
        </w:tabs>
        <w:ind w:left="0"/>
        <w:jc w:val="center"/>
        <w:rPr>
          <w:i/>
          <w:color w:val="0070C0"/>
          <w:kern w:val="24"/>
          <w:szCs w:val="28"/>
          <w:lang w:val="uk-UA"/>
        </w:rPr>
      </w:pPr>
    </w:p>
    <w:p w:rsidR="00322C3B" w:rsidRPr="00867A08" w:rsidRDefault="00AC1556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t>Покликання на робочу програму навчальної дисципліни</w:t>
      </w:r>
    </w:p>
    <w:p w:rsidR="00AC1556" w:rsidRPr="00AC1556" w:rsidRDefault="00AC1556" w:rsidP="00AC1556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322C3B" w:rsidRPr="00844DBF" w:rsidRDefault="00322C3B" w:rsidP="007662FC">
      <w:pPr>
        <w:pStyle w:val="a3"/>
        <w:spacing w:before="0" w:beforeAutospacing="0" w:after="0" w:afterAutospacing="0"/>
        <w:rPr>
          <w:sz w:val="20"/>
        </w:rPr>
      </w:pPr>
    </w:p>
    <w:p w:rsidR="00322C3B" w:rsidRDefault="00322C3B" w:rsidP="007662FC">
      <w:pPr>
        <w:pStyle w:val="a3"/>
        <w:spacing w:before="0" w:beforeAutospacing="0" w:after="0" w:afterAutospacing="0"/>
        <w:rPr>
          <w:sz w:val="20"/>
        </w:rPr>
      </w:pPr>
    </w:p>
    <w:p w:rsidR="00322C3B" w:rsidRDefault="00322C3B" w:rsidP="007662FC">
      <w:pPr>
        <w:pStyle w:val="a3"/>
        <w:spacing w:before="0" w:beforeAutospacing="0" w:after="0" w:afterAutospacing="0"/>
        <w:rPr>
          <w:sz w:val="20"/>
        </w:rPr>
      </w:pPr>
    </w:p>
    <w:p w:rsidR="00322C3B" w:rsidRPr="00EC2D4C" w:rsidRDefault="00322C3B" w:rsidP="00A104BD">
      <w:pPr>
        <w:ind w:firstLine="600"/>
        <w:jc w:val="center"/>
        <w:rPr>
          <w:sz w:val="24"/>
        </w:rPr>
      </w:pPr>
    </w:p>
    <w:p w:rsidR="00322C3B" w:rsidRPr="00EC2D4C" w:rsidRDefault="00322C3B" w:rsidP="00A104BD">
      <w:pPr>
        <w:ind w:firstLine="600"/>
        <w:jc w:val="center"/>
        <w:rPr>
          <w:b/>
          <w:sz w:val="24"/>
        </w:rPr>
      </w:pPr>
    </w:p>
    <w:p w:rsidR="00322C3B" w:rsidRPr="004540F4" w:rsidRDefault="00322C3B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322C3B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4BD"/>
    <w:rsid w:val="00025815"/>
    <w:rsid w:val="00030DF7"/>
    <w:rsid w:val="00097882"/>
    <w:rsid w:val="000E3BE5"/>
    <w:rsid w:val="00122EFE"/>
    <w:rsid w:val="002D5D04"/>
    <w:rsid w:val="002F28A5"/>
    <w:rsid w:val="003213CF"/>
    <w:rsid w:val="00322C3B"/>
    <w:rsid w:val="003A59CB"/>
    <w:rsid w:val="004526C4"/>
    <w:rsid w:val="004540F4"/>
    <w:rsid w:val="004876FB"/>
    <w:rsid w:val="004C0DD3"/>
    <w:rsid w:val="004D07A2"/>
    <w:rsid w:val="0052761D"/>
    <w:rsid w:val="005514AC"/>
    <w:rsid w:val="005667A0"/>
    <w:rsid w:val="0059620B"/>
    <w:rsid w:val="005976D2"/>
    <w:rsid w:val="006051E6"/>
    <w:rsid w:val="00613C0F"/>
    <w:rsid w:val="006F1A75"/>
    <w:rsid w:val="007662FC"/>
    <w:rsid w:val="007C1673"/>
    <w:rsid w:val="007C3828"/>
    <w:rsid w:val="00804478"/>
    <w:rsid w:val="00844DBF"/>
    <w:rsid w:val="00867A08"/>
    <w:rsid w:val="00873D75"/>
    <w:rsid w:val="008D07ED"/>
    <w:rsid w:val="009129B7"/>
    <w:rsid w:val="00952E7C"/>
    <w:rsid w:val="00966AD7"/>
    <w:rsid w:val="009938A5"/>
    <w:rsid w:val="009D619D"/>
    <w:rsid w:val="009F7EFE"/>
    <w:rsid w:val="00A043B3"/>
    <w:rsid w:val="00A104BD"/>
    <w:rsid w:val="00AC1556"/>
    <w:rsid w:val="00B76FC8"/>
    <w:rsid w:val="00B92BDD"/>
    <w:rsid w:val="00C4485A"/>
    <w:rsid w:val="00C57210"/>
    <w:rsid w:val="00C71D27"/>
    <w:rsid w:val="00C8432D"/>
    <w:rsid w:val="00CC6026"/>
    <w:rsid w:val="00D217FC"/>
    <w:rsid w:val="00D7189E"/>
    <w:rsid w:val="00DA68D4"/>
    <w:rsid w:val="00E07B29"/>
    <w:rsid w:val="00E10037"/>
    <w:rsid w:val="00E2612B"/>
    <w:rsid w:val="00E94625"/>
    <w:rsid w:val="00EB3310"/>
    <w:rsid w:val="00EC2D4C"/>
    <w:rsid w:val="00ED15E7"/>
    <w:rsid w:val="00F15CED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82F286"/>
  <w15:docId w15:val="{290475DF-EE85-458B-8AB2-5836FD52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uiPriority w:val="99"/>
    <w:rsid w:val="00A104BD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99"/>
    <w:rsid w:val="00CC6026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31" TargetMode="External"/><Relationship Id="rId13" Type="http://schemas.openxmlformats.org/officeDocument/2006/relationships/hyperlink" Target="https://nau.kiev.ua" TargetMode="External"/><Relationship Id="rId18" Type="http://schemas.openxmlformats.org/officeDocument/2006/relationships/hyperlink" Target="http://www.kmu.gov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ukrstat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bonarev-volodymyr-valeriiovych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e.gov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www.mon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tax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19</cp:revision>
  <dcterms:created xsi:type="dcterms:W3CDTF">2024-08-16T14:26:00Z</dcterms:created>
  <dcterms:modified xsi:type="dcterms:W3CDTF">2025-10-26T11:48:00Z</dcterms:modified>
</cp:coreProperties>
</file>