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83"/>
        <w:gridCol w:w="7655"/>
      </w:tblGrid>
      <w:tr w14:paraId="3CDB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  <w:vAlign w:val="center"/>
          </w:tcPr>
          <w:p w14:paraId="0E481D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color w:val="843C0B" w:themeColor="accent2" w:themeShade="80"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-19685</wp:posOffset>
                  </wp:positionV>
                  <wp:extent cx="1162050" cy="101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  <w:vAlign w:val="center"/>
          </w:tcPr>
          <w:p w14:paraId="24BF40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CC48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Силабус навчальної дисципліни</w:t>
            </w:r>
          </w:p>
        </w:tc>
      </w:tr>
      <w:tr w14:paraId="2275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 w14:paraId="27DD66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14:paraId="0DAF66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89F31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«КОНТРОЛІНГ»</w:t>
            </w:r>
          </w:p>
        </w:tc>
      </w:tr>
      <w:tr w14:paraId="3DF8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701" w:type="dxa"/>
            <w:vMerge w:val="continue"/>
            <w:vAlign w:val="center"/>
          </w:tcPr>
          <w:p w14:paraId="03CFD2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14:paraId="5ECC80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049AD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Компонента освітньої програми – вибіркова (3 кредити)</w:t>
            </w:r>
          </w:p>
        </w:tc>
      </w:tr>
    </w:tbl>
    <w:p w14:paraId="5A02F6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5"/>
      </w:tblGrid>
      <w:tr w14:paraId="667E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14" w:type="dxa"/>
            <w:vAlign w:val="center"/>
          </w:tcPr>
          <w:p w14:paraId="11C4E9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Освітньо-професійна програма </w:t>
            </w:r>
          </w:p>
        </w:tc>
        <w:tc>
          <w:tcPr>
            <w:tcW w:w="4815" w:type="dxa"/>
            <w:vAlign w:val="center"/>
          </w:tcPr>
          <w:p w14:paraId="05EDCB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Облік і оподаткування </w:t>
            </w:r>
          </w:p>
        </w:tc>
      </w:tr>
      <w:tr w14:paraId="122D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2EEB2C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4815" w:type="dxa"/>
            <w:vAlign w:val="center"/>
          </w:tcPr>
          <w:p w14:paraId="122A4B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«Облік і оподаткування»</w:t>
            </w:r>
          </w:p>
        </w:tc>
      </w:tr>
      <w:tr w14:paraId="35AB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59D7C9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Галузь знань </w:t>
            </w:r>
          </w:p>
        </w:tc>
        <w:tc>
          <w:tcPr>
            <w:tcW w:w="4815" w:type="dxa"/>
            <w:vAlign w:val="center"/>
          </w:tcPr>
          <w:p w14:paraId="422994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«Бізнес, адміністрування та право»</w:t>
            </w:r>
          </w:p>
        </w:tc>
      </w:tr>
      <w:tr w14:paraId="64D3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473289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4815" w:type="dxa"/>
            <w:vAlign w:val="center"/>
          </w:tcPr>
          <w:p w14:paraId="68727D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14:paraId="680E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52F5C1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навчання </w:t>
            </w:r>
          </w:p>
        </w:tc>
        <w:tc>
          <w:tcPr>
            <w:tcW w:w="4815" w:type="dxa"/>
            <w:vAlign w:val="center"/>
          </w:tcPr>
          <w:p w14:paraId="07F390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14:paraId="68A9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4C78C6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Профайл викладача </w:t>
            </w:r>
          </w:p>
        </w:tc>
        <w:tc>
          <w:tcPr>
            <w:tcW w:w="4815" w:type="dxa"/>
            <w:vAlign w:val="center"/>
          </w:tcPr>
          <w:p w14:paraId="07E65D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Танасієва Марина Миколаївна – кандидат економічний наук, доцент, асистент кафедри обліку, аналізу і аудиту </w:t>
            </w:r>
          </w:p>
          <w:p w14:paraId="5B3345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"https://accounting.chnu.edu.ua/pro-nas/kolektyv/tanasiieva-maryna-mykolaivna/"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https://accounting.chnu.edu.ua/pro-nas/kolektyv/tanasiieva-maryna-mykolaivna/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</w:tc>
      </w:tr>
      <w:tr w14:paraId="6063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7F53CD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</w:t>
            </w:r>
          </w:p>
        </w:tc>
        <w:tc>
          <w:tcPr>
            <w:tcW w:w="4815" w:type="dxa"/>
            <w:vAlign w:val="center"/>
          </w:tcPr>
          <w:p w14:paraId="56332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+38(050)9669932</w:t>
            </w:r>
          </w:p>
        </w:tc>
      </w:tr>
      <w:tr w14:paraId="70C4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73ACB2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4815" w:type="dxa"/>
            <w:vAlign w:val="center"/>
          </w:tcPr>
          <w:p w14:paraId="44A4E6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"mailto:m.tanasiyeva@chnu.edu.ua"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m.tanasiyeva</w:t>
            </w:r>
            <w:r>
              <w:rPr>
                <w:rStyle w:val="5"/>
                <w:rFonts w:ascii="Times New Roman" w:hAnsi="Times New Roman" w:eastAsia="Times New Roman" w:cs="Times New Roman"/>
                <w:sz w:val="24"/>
                <w:szCs w:val="24"/>
              </w:rPr>
              <w:t>@</w:t>
            </w:r>
            <w:r>
              <w:rPr>
                <w:rStyle w:val="5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chnu</w:t>
            </w:r>
            <w:r>
              <w:rPr>
                <w:rStyle w:val="5"/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rPr>
                <w:rStyle w:val="5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edu</w:t>
            </w:r>
            <w:r>
              <w:rPr>
                <w:rStyle w:val="5"/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rPr>
                <w:rStyle w:val="5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Style w:val="5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14:paraId="160C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34E1B7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4815" w:type="dxa"/>
            <w:vAlign w:val="center"/>
          </w:tcPr>
          <w:p w14:paraId="27FBC1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753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vAlign w:val="center"/>
          </w:tcPr>
          <w:p w14:paraId="31E4D8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4815" w:type="dxa"/>
            <w:vAlign w:val="center"/>
          </w:tcPr>
          <w:p w14:paraId="12969A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графіку</w:t>
            </w:r>
          </w:p>
        </w:tc>
      </w:tr>
    </w:tbl>
    <w:p w14:paraId="125BF1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A6A8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Анотація навчальної дисципліни</w:t>
      </w:r>
    </w:p>
    <w:p w14:paraId="3DA72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Сучасні кризові соціально-політичні та економічні умови функціонування суб’єктів господарюванні, з одночасною світовою  глобалізацією ринків збуту та прагненням України до асоціації з Європейським Союзом, визначають високий рівень вимог до системи управління підприємства. Особливо до можливостей негайної адаптації управлінського персоналу сучасним викликам економіки країни. Однією з основ сучасної практики управління є те, що підприємство досягає цілей, організовуючи та управляючи своїми бізнес-процесами, які постійно мають змінюватись відповідно до умов зовнішнього середовища. У зв’язку з цим першочергового значення набувають питання формування і реалізації принципів системно-процесного управління підприємством. Контролінг – це система управління досягненням цілей і невід’ємна частина управління підприємством. На відміну від інших дисциплін контролінг, є синтетичною дисципліною, яка базується і розвивається на основі концепцій менеджменту, маркетингу, обліку, планування та аналізу. Крім того, вона спрямована на формування у студентів навичок і знань, необхідних для застосування методичного інструментарію контролінгу для прийняття управлінських рішень, займає важливе місце у системі підготовки фахівців з обліку і оподаткування.</w:t>
      </w:r>
    </w:p>
    <w:p w14:paraId="4CC9FF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 навчальної дисципліни «Контролінг»: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оволодіння теоретичними знаннями та набуття практичних навичок </w:t>
      </w:r>
      <w:r>
        <w:rPr>
          <w:rFonts w:ascii="Times New Roman" w:hAnsi="Times New Roman" w:cs="Times New Roman"/>
          <w:sz w:val="28"/>
          <w:szCs w:val="28"/>
        </w:rPr>
        <w:t>з концептуальних засад та організаційно-методичних основ функціонування системи контролінгу на підприємстві для формування всебічного якісного інформаційного забезпечення у галузі управління та адміністрування.</w:t>
      </w:r>
    </w:p>
    <w:p w14:paraId="1C5DA8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23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4BBE0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Навчальний контент освітньої компоненти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216"/>
      </w:tblGrid>
      <w:tr w14:paraId="5731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2"/>
            <w:vAlign w:val="center"/>
          </w:tcPr>
          <w:p w14:paraId="1F208D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ТЕОРЕТИКО-ОРГАНІЗАЦІЙНІ ЗАСАДИ КОНТРОЛІНГУ</w:t>
            </w:r>
          </w:p>
        </w:tc>
      </w:tr>
      <w:tr w14:paraId="3FEB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4DDBC6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8216" w:type="dxa"/>
          </w:tcPr>
          <w:p w14:paraId="32EC2DD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Контролінг: сутність, функції, види та основні завдання</w:t>
            </w:r>
          </w:p>
        </w:tc>
      </w:tr>
      <w:tr w14:paraId="64D6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267795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8216" w:type="dxa"/>
          </w:tcPr>
          <w:p w14:paraId="26C8707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об’єктів контролінгу та класифікація інформаційних систем</w:t>
            </w:r>
          </w:p>
        </w:tc>
      </w:tr>
      <w:tr w14:paraId="2C60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277D27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8216" w:type="dxa"/>
          </w:tcPr>
          <w:p w14:paraId="1BCCF90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Управлінський облік як основа контролінгу</w:t>
            </w:r>
          </w:p>
        </w:tc>
      </w:tr>
      <w:tr w14:paraId="3698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072F03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8216" w:type="dxa"/>
          </w:tcPr>
          <w:p w14:paraId="5145226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Бюджетування як інструмент контролінгу в реалізації функцій планування, контролю і регулювання</w:t>
            </w:r>
          </w:p>
        </w:tc>
      </w:tr>
      <w:tr w14:paraId="2814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2"/>
            <w:vAlign w:val="center"/>
          </w:tcPr>
          <w:p w14:paraId="15279C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МЕТОДИЧНІ ЗАСАДИ КОНТРОЛІНГУ</w:t>
            </w:r>
          </w:p>
        </w:tc>
      </w:tr>
      <w:tr w14:paraId="0966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B09EC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8216" w:type="dxa"/>
          </w:tcPr>
          <w:p w14:paraId="632855C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Методичний інструментарій оперативного контролінгу</w:t>
            </w:r>
          </w:p>
        </w:tc>
      </w:tr>
      <w:tr w14:paraId="4B65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1A47B9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8216" w:type="dxa"/>
          </w:tcPr>
          <w:p w14:paraId="523B4F1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Експертна діагностика фінансово-господарського стану підприємства</w:t>
            </w:r>
          </w:p>
        </w:tc>
      </w:tr>
      <w:tr w14:paraId="6E59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67439D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8216" w:type="dxa"/>
          </w:tcPr>
          <w:p w14:paraId="0D0ADF5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Контролінг інвестиційних проектів</w:t>
            </w:r>
          </w:p>
        </w:tc>
      </w:tr>
      <w:tr w14:paraId="05A4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3BCA2D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</w:p>
        </w:tc>
        <w:tc>
          <w:tcPr>
            <w:tcW w:w="8216" w:type="dxa"/>
          </w:tcPr>
          <w:p w14:paraId="75E95E2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Організаційно-методичні основи формування та функціонування системи контролінгу на підприємстві</w:t>
            </w:r>
          </w:p>
        </w:tc>
      </w:tr>
      <w:tr w14:paraId="152A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0C331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9</w:t>
            </w:r>
          </w:p>
        </w:tc>
        <w:tc>
          <w:tcPr>
            <w:tcW w:w="8216" w:type="dxa"/>
          </w:tcPr>
          <w:p w14:paraId="3A2D0A6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Контролінг у системі прийняття управлінських рішень</w:t>
            </w:r>
          </w:p>
        </w:tc>
      </w:tr>
    </w:tbl>
    <w:p w14:paraId="7F2F5B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6EC0A">
      <w:pPr>
        <w:pStyle w:val="10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 МЕТОДИ ТА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ОСВІТНІ ТЕХНОЛОГІЇ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p w14:paraId="3380F3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процесі вивчення навчальної дисципліни використовуються освітні технології інтенсифікації навчання на основі опорних схем і моделей, модульно-блочного навчання; вербальні методи (лекція, бесіда, пояснення, розповідь та інші); практичні методи (семінари, практичні та ситуаційні завдання);  наочні методи (презентація, демонстрація, ілюстрація); проблемно-пошукові методи; робота з інформаційними ресурсами (нормативними джерелами, навчально-методичною та науковою літературою, інтернет-ресурсами); самостійна робота над індивідуальним завданням за програмою навчальної дисципліни; дистанційне навчання з використанням системи Moodle; і</w:t>
      </w:r>
      <w:r>
        <w:rPr>
          <w:rFonts w:ascii="Times New Roman" w:hAnsi="Times New Roman" w:eastAsia="Malgun Gothic Semilight" w:cs="Times New Roman"/>
          <w:sz w:val="28"/>
          <w:szCs w:val="28"/>
        </w:rPr>
        <w:t>нш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eastAsia="Malgun Gothic Semilight" w:cs="Times New Roman"/>
          <w:sz w:val="28"/>
          <w:szCs w:val="28"/>
        </w:rPr>
        <w:t>методи навчання.</w:t>
      </w:r>
    </w:p>
    <w:p w14:paraId="5B9CCC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F300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Форми й методи контролю та оцінювання</w:t>
      </w:r>
    </w:p>
    <w:p w14:paraId="72706EB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контроль: 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>фронтальне опитування; індивідуальне опитування; с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тандартизован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і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тести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; розв’язування практичних ситуацій; тематичні контрольні роботи; презентація результатів виконання індивідуальних та командних завдань (наукових, розрахункових, аналітичних та інших); виступи та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презентац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ії здобувачів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на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науково-практичних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заходах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>; і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нш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і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види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 і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ндив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>і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дуальних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Malgun Gothic Semilight" w:cs="Times New Roman"/>
          <w:color w:val="000000"/>
          <w:sz w:val="28"/>
          <w:szCs w:val="28"/>
          <w:lang w:bidi="en-US"/>
        </w:rPr>
        <w:t>та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bidi="en-US"/>
        </w:rPr>
        <w:t xml:space="preserve"> групових завдань.</w:t>
      </w:r>
    </w:p>
    <w:p w14:paraId="08D064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Підсумковий контроль: залік.</w:t>
      </w:r>
    </w:p>
    <w:p w14:paraId="76225C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3FF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Критерії оцінювання результатів навчання</w:t>
      </w:r>
    </w:p>
    <w:p w14:paraId="5AD6107A">
      <w:pPr>
        <w:pStyle w:val="6"/>
        <w:widowControl w:val="0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</w:p>
    <w:p w14:paraId="549D6900">
      <w:pPr>
        <w:pStyle w:val="6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</w:p>
    <w:p w14:paraId="1E5DF5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81B6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Політика щодо академічної доброчесності</w:t>
      </w:r>
    </w:p>
    <w:p w14:paraId="36BFC554">
      <w:pPr>
        <w:pStyle w:val="8"/>
        <w:ind w:left="0" w:firstLine="567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41D5B5B">
      <w:pPr>
        <w:pStyle w:val="8"/>
        <w:numPr>
          <w:ilvl w:val="0"/>
          <w:numId w:val="1"/>
        </w:numPr>
        <w:tabs>
          <w:tab w:val="left" w:pos="851"/>
        </w:tabs>
        <w:ind w:left="0" w:firstLine="567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Етичний кодекс </w:t>
      </w:r>
      <w:r>
        <w:rPr>
          <w:bCs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Чернівецького національного університету імені Юрія Федьковича. </w:t>
      </w:r>
      <w:r>
        <w:rPr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URL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: </w:t>
      </w:r>
      <w:r>
        <w:fldChar w:fldCharType="begin"/>
      </w:r>
      <w:r>
        <w:instrText xml:space="preserve"> HYPERLINK "https://www.chnu.edu.ua/media/jxdbs0zb/etychnyi-kodeks-chernivets%20koho-natsionalnoho-universytetu.pdf" </w:instrText>
      </w:r>
      <w:r>
        <w:fldChar w:fldCharType="separate"/>
      </w:r>
      <w:r>
        <w:rPr>
          <w:rStyle w:val="5"/>
          <w:bCs/>
          <w:color w:val="0070C0"/>
          <w:sz w:val="28"/>
          <w:szCs w:val="28"/>
        </w:rPr>
        <w:t>https://www.chnu.edu.ua/media/jxdbs0zb/etychnyi-kodeks-chernivets koho-natsionalnoho-universytetu.pdf</w:t>
      </w:r>
      <w:r>
        <w:rPr>
          <w:rStyle w:val="5"/>
          <w:bCs/>
          <w:color w:val="0070C0"/>
          <w:sz w:val="28"/>
          <w:szCs w:val="28"/>
        </w:rPr>
        <w:fldChar w:fldCharType="end"/>
      </w:r>
      <w:r>
        <w:rPr>
          <w:rStyle w:val="5"/>
          <w:bCs/>
          <w:sz w:val="28"/>
          <w:szCs w:val="28"/>
        </w:rPr>
        <w:t>;</w:t>
      </w:r>
    </w:p>
    <w:p w14:paraId="2A02D07D">
      <w:pPr>
        <w:pStyle w:val="8"/>
        <w:numPr>
          <w:ilvl w:val="0"/>
          <w:numId w:val="1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Положенням про виявлення та запобігання академічного плагіату у Чернівецькому національному університету імені Юрія Федьковича. </w:t>
      </w:r>
      <w:r>
        <w:rPr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URL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"https://www.chnu.edu.ua/media/hkzbr1b2/polozhennia-pro-vyiavlennia-ta-zapobihannia-akademichnomu-plahiatu-u-chnu-2025.pdf" </w:instrTex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bCs/>
          <w:sz w:val="28"/>
          <w:szCs w:val="28"/>
        </w:rPr>
        <w:t>https://www.chnu.edu.ua/media/hkzbr1b2/polozhennia-pro-vyiavlennia-ta-zapobihannia-akademichnomu-plahiatu-u-chnu-2025.pdf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53792B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14E18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Інформаційні ресурси</w:t>
      </w:r>
    </w:p>
    <w:p w14:paraId="7EC494D1">
      <w:pPr>
        <w:pStyle w:val="8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Академічні ресурси:</w:t>
      </w:r>
    </w:p>
    <w:p w14:paraId="1C91FD6F">
      <w:pPr>
        <w:pStyle w:val="8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Репозитарій академічних статей, таких як Google Scholar або ResearchGate, для пошуку актуальних наукових досліджень та публікацій з курсу.</w:t>
      </w:r>
    </w:p>
    <w:p w14:paraId="3F95A2F9">
      <w:pPr>
        <w:pStyle w:val="8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2. Archer – інституційний репозитарій відкритого доступу представників Чернівецького національного університету імені Юрія Федьковича. URL: </w:t>
      </w:r>
      <w:r>
        <w:fldChar w:fldCharType="begin"/>
      </w:r>
      <w:r>
        <w:instrText xml:space="preserve"> HYPERLINK "https://archer.chnu.edu.ua" </w:instrText>
      </w:r>
      <w:r>
        <w:fldChar w:fldCharType="separate"/>
      </w:r>
      <w:r>
        <w:rPr>
          <w:rStyle w:val="5"/>
          <w:sz w:val="28"/>
          <w:szCs w:val="28"/>
        </w:rPr>
        <w:t>https://archer.chnu.edu.ua</w:t>
      </w:r>
      <w:r>
        <w:rPr>
          <w:rStyle w:val="5"/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14:paraId="281A11A8">
      <w:pPr>
        <w:pStyle w:val="8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Офіційні сайти органів державного управління України:</w:t>
      </w:r>
    </w:p>
    <w:p w14:paraId="37CBAF1D">
      <w:pPr>
        <w:pStyle w:val="8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</w:rPr>
        <w:t>Офіційний сайт</w:t>
      </w:r>
      <w:r>
        <w:rPr>
          <w:sz w:val="28"/>
          <w:szCs w:val="28"/>
        </w:rPr>
        <w:t xml:space="preserve"> Верховної Ради України. </w:t>
      </w:r>
      <w:r>
        <w:rPr>
          <w:sz w:val="28"/>
        </w:rPr>
        <w:t>URL: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"http://www.rada.gov.ua/" </w:instrText>
      </w:r>
      <w:r>
        <w:fldChar w:fldCharType="separate"/>
      </w:r>
      <w:r>
        <w:rPr>
          <w:rStyle w:val="5"/>
          <w:sz w:val="28"/>
        </w:rPr>
        <w:t>www.rada.gov.ua</w:t>
      </w:r>
      <w:r>
        <w:rPr>
          <w:rStyle w:val="5"/>
          <w:sz w:val="28"/>
          <w:lang w:val="en-US"/>
        </w:rPr>
        <w:t>/</w:t>
      </w:r>
      <w:r>
        <w:rPr>
          <w:rStyle w:val="5"/>
          <w:sz w:val="28"/>
          <w:lang w:val="en-US"/>
        </w:rPr>
        <w:fldChar w:fldCharType="end"/>
      </w:r>
      <w:r>
        <w:rPr>
          <w:sz w:val="28"/>
          <w:szCs w:val="28"/>
        </w:rPr>
        <w:t xml:space="preserve">.  </w:t>
      </w:r>
    </w:p>
    <w:p w14:paraId="3E1BDB12">
      <w:pPr>
        <w:pStyle w:val="8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Кабінету Міністрів України. </w:t>
      </w:r>
      <w:r>
        <w:rPr>
          <w:sz w:val="28"/>
        </w:rPr>
        <w:t xml:space="preserve">URL: </w:t>
      </w:r>
      <w:r>
        <w:fldChar w:fldCharType="begin"/>
      </w:r>
      <w:r>
        <w:instrText xml:space="preserve"> HYPERLINK "https://www.kmu.gov.ua" </w:instrText>
      </w:r>
      <w:r>
        <w:fldChar w:fldCharType="separate"/>
      </w:r>
      <w:r>
        <w:rPr>
          <w:rStyle w:val="5"/>
          <w:sz w:val="28"/>
        </w:rPr>
        <w:t>https://www.kmu.gov.ua</w:t>
      </w:r>
      <w:r>
        <w:rPr>
          <w:rStyle w:val="5"/>
          <w:sz w:val="28"/>
        </w:rPr>
        <w:fldChar w:fldCharType="end"/>
      </w:r>
      <w:r>
        <w:rPr>
          <w:sz w:val="28"/>
        </w:rPr>
        <w:t xml:space="preserve">. </w:t>
      </w:r>
    </w:p>
    <w:p w14:paraId="648F2965">
      <w:pPr>
        <w:pStyle w:val="8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казначейської служби України. </w:t>
      </w:r>
      <w:r>
        <w:rPr>
          <w:sz w:val="28"/>
        </w:rPr>
        <w:t xml:space="preserve">URL: </w:t>
      </w:r>
      <w:r>
        <w:fldChar w:fldCharType="begin"/>
      </w:r>
      <w:r>
        <w:instrText xml:space="preserve"> HYPERLINK "https://www.treasury.gov.ua" </w:instrText>
      </w:r>
      <w:r>
        <w:fldChar w:fldCharType="separate"/>
      </w:r>
      <w:r>
        <w:rPr>
          <w:rStyle w:val="5"/>
          <w:sz w:val="28"/>
        </w:rPr>
        <w:t>https://www.treasury.gov.ua</w:t>
      </w:r>
      <w:r>
        <w:rPr>
          <w:rStyle w:val="5"/>
          <w:sz w:val="28"/>
        </w:rPr>
        <w:fldChar w:fldCharType="end"/>
      </w:r>
      <w:r>
        <w:rPr>
          <w:sz w:val="28"/>
        </w:rPr>
        <w:t xml:space="preserve">. </w:t>
      </w:r>
    </w:p>
    <w:p w14:paraId="2D361A7A">
      <w:pPr>
        <w:pStyle w:val="8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митної служби України. </w:t>
      </w:r>
      <w:r>
        <w:rPr>
          <w:sz w:val="28"/>
        </w:rPr>
        <w:t xml:space="preserve">URL: </w:t>
      </w:r>
      <w:r>
        <w:fldChar w:fldCharType="begin"/>
      </w:r>
      <w:r>
        <w:instrText xml:space="preserve"> HYPERLINK "https://customs.gov.ua" </w:instrText>
      </w:r>
      <w:r>
        <w:fldChar w:fldCharType="separate"/>
      </w:r>
      <w:r>
        <w:rPr>
          <w:rStyle w:val="5"/>
          <w:sz w:val="28"/>
        </w:rPr>
        <w:t>https://customs.gov.ua</w:t>
      </w:r>
      <w:r>
        <w:rPr>
          <w:rStyle w:val="5"/>
          <w:sz w:val="28"/>
        </w:rPr>
        <w:fldChar w:fldCharType="end"/>
      </w:r>
      <w:r>
        <w:rPr>
          <w:sz w:val="28"/>
        </w:rPr>
        <w:t xml:space="preserve">. </w:t>
      </w:r>
    </w:p>
    <w:p w14:paraId="0CF7CDF7">
      <w:pPr>
        <w:pStyle w:val="8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податкової служби України. </w:t>
      </w:r>
      <w:r>
        <w:rPr>
          <w:sz w:val="28"/>
        </w:rPr>
        <w:t xml:space="preserve">URL: </w:t>
      </w:r>
      <w:r>
        <w:fldChar w:fldCharType="begin"/>
      </w:r>
      <w:r>
        <w:instrText xml:space="preserve"> HYPERLINK "https://tax.gov.ua" </w:instrText>
      </w:r>
      <w:r>
        <w:fldChar w:fldCharType="separate"/>
      </w:r>
      <w:r>
        <w:rPr>
          <w:rStyle w:val="5"/>
          <w:sz w:val="28"/>
        </w:rPr>
        <w:t>https://tax.gov.ua</w:t>
      </w:r>
      <w:r>
        <w:rPr>
          <w:rStyle w:val="5"/>
          <w:sz w:val="28"/>
        </w:rPr>
        <w:fldChar w:fldCharType="end"/>
      </w:r>
      <w:r>
        <w:rPr>
          <w:sz w:val="28"/>
        </w:rPr>
        <w:t xml:space="preserve">. </w:t>
      </w:r>
    </w:p>
    <w:p w14:paraId="459AB240">
      <w:pPr>
        <w:pStyle w:val="8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</w:rPr>
        <w:t>Офіційний сайт</w:t>
      </w:r>
      <w:r>
        <w:rPr>
          <w:sz w:val="28"/>
          <w:szCs w:val="28"/>
        </w:rPr>
        <w:t xml:space="preserve"> Міністерства фінансів України. </w:t>
      </w:r>
      <w:r>
        <w:rPr>
          <w:sz w:val="28"/>
        </w:rPr>
        <w:t xml:space="preserve">URL: </w:t>
      </w:r>
      <w:r>
        <w:fldChar w:fldCharType="begin"/>
      </w:r>
      <w:r>
        <w:instrText xml:space="preserve"> HYPERLINK "http://www.minfin.gov.ua" </w:instrText>
      </w:r>
      <w:r>
        <w:fldChar w:fldCharType="separate"/>
      </w:r>
      <w:r>
        <w:rPr>
          <w:rStyle w:val="5"/>
          <w:sz w:val="28"/>
          <w:szCs w:val="28"/>
        </w:rPr>
        <w:t>www.minfin.gov.ua</w:t>
      </w:r>
      <w:r>
        <w:rPr>
          <w:rStyle w:val="5"/>
          <w:sz w:val="28"/>
          <w:szCs w:val="28"/>
        </w:rPr>
        <w:fldChar w:fldCharType="end"/>
      </w:r>
      <w:r>
        <w:rPr>
          <w:sz w:val="28"/>
        </w:rPr>
        <w:t xml:space="preserve">. </w:t>
      </w:r>
    </w:p>
    <w:p w14:paraId="35C4180E">
      <w:pPr>
        <w:pStyle w:val="8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Офіційний сайт Міністерства економіки України.</w:t>
      </w:r>
      <w:r>
        <w:rPr>
          <w:sz w:val="28"/>
        </w:rPr>
        <w:t xml:space="preserve"> URL: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"https://www.me.gov.ua" </w:instrText>
      </w:r>
      <w:r>
        <w:fldChar w:fldCharType="separate"/>
      </w:r>
      <w:r>
        <w:rPr>
          <w:rStyle w:val="5"/>
          <w:sz w:val="28"/>
          <w:szCs w:val="28"/>
        </w:rPr>
        <w:t>https://www.me.gov.ua</w:t>
      </w:r>
      <w:r>
        <w:rPr>
          <w:rStyle w:val="5"/>
          <w:sz w:val="28"/>
          <w:szCs w:val="28"/>
        </w:rPr>
        <w:fldChar w:fldCharType="end"/>
      </w:r>
      <w:r>
        <w:rPr>
          <w:rStyle w:val="5"/>
          <w:sz w:val="28"/>
          <w:szCs w:val="28"/>
        </w:rPr>
        <w:t>.</w:t>
      </w:r>
    </w:p>
    <w:p w14:paraId="07793D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00B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Детальна інформація про навчальну дисципліну «КОНТРОЛІНГ» висвітлена у презентації:</w:t>
      </w:r>
    </w:p>
    <w:p w14:paraId="1B67788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"https://drive.google.com/file/d/1VQnOBLajPqiib_uvJiKyJggW9a4zzpQK/view?usp=sharing"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https://drive.google.com/file/d/1VQnOBLajPqiib_uvJiKyJggW9a4zzpQK/view?usp=sharing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</w:p>
    <w:p w14:paraId="1DF2F2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6A1C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D045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lgun Gothic Semilight">
    <w:panose1 w:val="020B0502040204020203"/>
    <w:charset w:val="81"/>
    <w:family w:val="swiss"/>
    <w:pitch w:val="default"/>
    <w:sig w:usb0="900002AF" w:usb1="01D77CFB" w:usb2="00000012" w:usb3="00000000" w:csb0="203E01BD" w:csb1="D7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E52B9"/>
    <w:multiLevelType w:val="multilevel"/>
    <w:tmpl w:val="031E52B9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1D16957"/>
    <w:multiLevelType w:val="multilevel"/>
    <w:tmpl w:val="31D16957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5A"/>
    <w:rsid w:val="000204E0"/>
    <w:rsid w:val="00050A90"/>
    <w:rsid w:val="001063FA"/>
    <w:rsid w:val="002E5CD8"/>
    <w:rsid w:val="004139CC"/>
    <w:rsid w:val="00427B40"/>
    <w:rsid w:val="00486B62"/>
    <w:rsid w:val="005961AA"/>
    <w:rsid w:val="00672B4B"/>
    <w:rsid w:val="006A0000"/>
    <w:rsid w:val="00784D16"/>
    <w:rsid w:val="00813987"/>
    <w:rsid w:val="00874AB2"/>
    <w:rsid w:val="009852F3"/>
    <w:rsid w:val="009B2B9B"/>
    <w:rsid w:val="00AC76F0"/>
    <w:rsid w:val="00AD148B"/>
    <w:rsid w:val="00C2053F"/>
    <w:rsid w:val="00C60045"/>
    <w:rsid w:val="00D3198C"/>
    <w:rsid w:val="00D96168"/>
    <w:rsid w:val="00E34EE3"/>
    <w:rsid w:val="00EC155A"/>
    <w:rsid w:val="00EE2923"/>
    <w:rsid w:val="00EE6408"/>
    <w:rsid w:val="00EF7B16"/>
    <w:rsid w:val="00F1290D"/>
    <w:rsid w:val="00F603A2"/>
    <w:rsid w:val="5010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link w:val="9"/>
    <w:qFormat/>
    <w:uiPriority w:val="34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hAnsi="Times New Roman" w:eastAsia="Times New Roman" w:cs="Times New Roman"/>
    </w:rPr>
  </w:style>
  <w:style w:type="character" w:customStyle="1" w:styleId="9">
    <w:name w:val="Абзац списка Знак"/>
    <w:link w:val="8"/>
    <w:locked/>
    <w:uiPriority w:val="34"/>
    <w:rPr>
      <w:rFonts w:ascii="Times New Roman" w:hAnsi="Times New Roman" w:eastAsia="Times New Roman" w:cs="Times New Roman"/>
    </w:rPr>
  </w:style>
  <w:style w:type="paragraph" w:customStyle="1" w:styleId="1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11">
    <w:name w:val="Основной текст (2)_"/>
    <w:link w:val="12"/>
    <w:uiPriority w:val="0"/>
    <w:rPr>
      <w:sz w:val="26"/>
      <w:szCs w:val="26"/>
      <w:shd w:val="clear" w:color="auto" w:fill="FFFFFF"/>
    </w:rPr>
  </w:style>
  <w:style w:type="paragraph" w:customStyle="1" w:styleId="12">
    <w:name w:val="Основной текст (2)"/>
    <w:basedOn w:val="1"/>
    <w:link w:val="11"/>
    <w:uiPriority w:val="0"/>
    <w:pPr>
      <w:widowControl w:val="0"/>
      <w:shd w:val="clear" w:color="auto" w:fill="FFFFFF"/>
      <w:spacing w:after="0" w:line="451" w:lineRule="exact"/>
      <w:ind w:hanging="400"/>
      <w:jc w:val="both"/>
    </w:pPr>
    <w:rPr>
      <w:sz w:val="26"/>
      <w:szCs w:val="26"/>
    </w:rPr>
  </w:style>
  <w:style w:type="paragraph" w:customStyle="1" w:styleId="13">
    <w:name w:val="Абзац списка1"/>
    <w:basedOn w:val="1"/>
    <w:qFormat/>
    <w:uiPriority w:val="0"/>
    <w:pPr>
      <w:spacing w:after="0" w:line="240" w:lineRule="auto"/>
      <w:ind w:left="720"/>
      <w:contextualSpacing/>
    </w:pPr>
    <w:rPr>
      <w:rFonts w:ascii="Times New Roman" w:hAnsi="Times New Roman" w:eastAsia="Calibri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4528</Words>
  <Characters>2582</Characters>
  <Lines>21</Lines>
  <Paragraphs>14</Paragraphs>
  <TotalTime>0</TotalTime>
  <ScaleCrop>false</ScaleCrop>
  <LinksUpToDate>false</LinksUpToDate>
  <CharactersWithSpaces>7096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2024-08-07T10:36:00Z</dcterms:created>
  <dc:creator>User</dc:creator>
  <cp:lastModifiedBy>ttana</cp:lastModifiedBy>
  <dcterms:modified xsi:type="dcterms:W3CDTF">2025-10-09T18:33:27Z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E0F747712DC14E32BB71978C0F478400_12</vt:lpwstr>
  </property>
</Properties>
</file>