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85" w:rsidRDefault="00D91A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1485" w:rsidRDefault="00D91A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Чернівецький національний університет імені Юрія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Федьковича</w:t>
      </w:r>
      <w:proofErr w:type="spellEnd"/>
    </w:p>
    <w:p w:rsidR="00411485" w:rsidRDefault="00411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1485" w:rsidRDefault="0041148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1485" w:rsidRDefault="00D91A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ОСВІТНЬО – ПРОФЕСІЙНА ПРОГРАМА </w:t>
      </w:r>
    </w:p>
    <w:p w:rsidR="00411485" w:rsidRDefault="00D91A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11485" w:rsidRDefault="00D91A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«Математика та інформатика» </w:t>
      </w:r>
    </w:p>
    <w:p w:rsidR="00411485" w:rsidRDefault="00411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D91A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Другого (магістерського) рівня вищої освіти </w:t>
      </w:r>
    </w:p>
    <w:p w:rsidR="00411485" w:rsidRDefault="00411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D91A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6871A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предметною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спеціальністю 014.04  Середня освіта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атематика)</w:t>
      </w:r>
    </w:p>
    <w:p w:rsidR="00411485" w:rsidRDefault="00411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D91A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галузі знань 01 Освіта/Педагогіка</w:t>
      </w:r>
    </w:p>
    <w:p w:rsidR="00411485" w:rsidRDefault="00411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D91AD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 ВЧЕНОЮ РАДОЮ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Голова вченої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___________________    Роман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  <w:t>ПЕТРИШИН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(протокол </w:t>
      </w:r>
      <w:r w:rsidR="006C10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 від "_____"_________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р.)</w:t>
      </w:r>
    </w:p>
    <w:p w:rsidR="00411485" w:rsidRDefault="00D91AD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Освітня програма вводиться в дію з "_____"_________ 202</w:t>
      </w:r>
      <w:r w:rsidR="006C10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</w:t>
      </w:r>
    </w:p>
    <w:p w:rsidR="00411485" w:rsidRDefault="00D91AD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Ректор___________________ Роман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  <w:t>ПЕТРИШИН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(наказ </w:t>
      </w:r>
      <w:r w:rsidR="006C10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 від "_____"_________ 2021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р.)</w:t>
      </w:r>
    </w:p>
    <w:p w:rsidR="00411485" w:rsidRDefault="00D91AD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1485" w:rsidRDefault="006C10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Чернівці – 2021</w:t>
      </w:r>
    </w:p>
    <w:p w:rsidR="00411485" w:rsidRDefault="00D91AD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411485" w:rsidRDefault="00411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D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ЛИСТ ПОГОДЖЕННЯ</w:t>
      </w:r>
    </w:p>
    <w:p w:rsidR="00411485" w:rsidRDefault="00D91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освітньо-професійної програми </w:t>
      </w:r>
    </w:p>
    <w:p w:rsidR="00411485" w:rsidRDefault="00411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5104"/>
      </w:tblGrid>
      <w:tr w:rsidR="00411485">
        <w:tc>
          <w:tcPr>
            <w:tcW w:w="4819" w:type="dxa"/>
          </w:tcPr>
          <w:p w:rsidR="00411485" w:rsidRDefault="00D91A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"РОЗРОБЛЕНО"</w:t>
            </w:r>
          </w:p>
          <w:p w:rsidR="00411485" w:rsidRDefault="00D91AD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Робочою групою кафедри</w:t>
            </w:r>
          </w:p>
          <w:p w:rsidR="00411485" w:rsidRDefault="00D91AD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алгебри та інформатики</w:t>
            </w:r>
          </w:p>
          <w:p w:rsidR="00411485" w:rsidRDefault="00D91AD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ЧНУ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Федьковича</w:t>
            </w:r>
            <w:proofErr w:type="spellEnd"/>
          </w:p>
          <w:p w:rsidR="00411485" w:rsidRDefault="00D91ADF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Керівник робочої групи</w:t>
            </w:r>
          </w:p>
          <w:p w:rsidR="00411485" w:rsidRDefault="00D91ADF">
            <w:pPr>
              <w:widowControl w:val="0"/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 Ольга МАРТИНЮК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104" w:type="dxa"/>
          </w:tcPr>
          <w:p w:rsidR="00411485" w:rsidRDefault="00D91A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 УХВАЛЕНО "</w:t>
            </w:r>
          </w:p>
          <w:p w:rsidR="00411485" w:rsidRDefault="00D91AD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засіданні кафедри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алгебри та інформатики</w:t>
            </w:r>
          </w:p>
          <w:p w:rsidR="00411485" w:rsidRDefault="00D91AD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ЧНУ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Федьковича</w:t>
            </w:r>
            <w:proofErr w:type="spellEnd"/>
          </w:p>
          <w:p w:rsidR="00411485" w:rsidRDefault="00D91AD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№____ від _______  202</w:t>
            </w:r>
            <w:r w:rsidR="006C1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411485" w:rsidRDefault="00D91ADF">
            <w:pPr>
              <w:widowControl w:val="0"/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Завідувач кафедри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11485" w:rsidRDefault="00D91AD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___________    Руслана КОЛІСНИК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</w:tc>
      </w:tr>
      <w:tr w:rsidR="00411485">
        <w:tc>
          <w:tcPr>
            <w:tcW w:w="4819" w:type="dxa"/>
          </w:tcPr>
          <w:p w:rsidR="00411485" w:rsidRDefault="00D91A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" СХВАЛЕНО " </w:t>
            </w:r>
          </w:p>
          <w:p w:rsidR="00411485" w:rsidRDefault="00D91AD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Вченою радою факультету математики та інформатики</w:t>
            </w:r>
          </w:p>
          <w:p w:rsidR="00411485" w:rsidRDefault="006C10A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№____ від _______ 2021</w:t>
            </w:r>
            <w:r w:rsidR="00D91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  <w:p w:rsidR="00411485" w:rsidRDefault="00D91AD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Голова Вченої ради факультету</w:t>
            </w:r>
          </w:p>
          <w:p w:rsidR="00411485" w:rsidRDefault="00D91ADF">
            <w:pPr>
              <w:widowControl w:val="0"/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Ольга МАРТИНЮК</w:t>
            </w:r>
          </w:p>
          <w:p w:rsidR="00411485" w:rsidRDefault="004114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411485" w:rsidRDefault="00D91A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 ПОГОДЖЕНО "</w:t>
            </w:r>
          </w:p>
          <w:p w:rsidR="00411485" w:rsidRDefault="00D91AD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навчального відділу</w:t>
            </w:r>
          </w:p>
          <w:p w:rsidR="00411485" w:rsidRDefault="00D91AD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ЧНУ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Федьковича</w:t>
            </w:r>
            <w:proofErr w:type="spellEnd"/>
          </w:p>
          <w:p w:rsidR="00411485" w:rsidRDefault="00D91ADF">
            <w:pPr>
              <w:widowControl w:val="0"/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Ярослав ГАРАБАЖІВ</w:t>
            </w:r>
          </w:p>
          <w:p w:rsidR="00411485" w:rsidRDefault="00D91ADF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"_____"</w:t>
            </w:r>
            <w:r w:rsidR="006C1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 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411485" w:rsidRDefault="00411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11485">
        <w:tc>
          <w:tcPr>
            <w:tcW w:w="4819" w:type="dxa"/>
          </w:tcPr>
          <w:p w:rsidR="00411485" w:rsidRDefault="00D91AD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" РЕКОМЕНДОВАНО " </w:t>
            </w:r>
          </w:p>
          <w:p w:rsidR="00411485" w:rsidRDefault="00D91AD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Комісією з навчально-методичної роботи Вченої ради ЧНУ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Федьковича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11485" w:rsidRDefault="006C10A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 ____ від _______ 2021</w:t>
            </w:r>
            <w:r w:rsidR="00D91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D91A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D91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11485" w:rsidRDefault="00D91AD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Голова комісії </w:t>
            </w:r>
          </w:p>
          <w:p w:rsidR="00411485" w:rsidRDefault="00D91ADF">
            <w:pPr>
              <w:widowControl w:val="0"/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Ольга МАРТИНЮК</w:t>
            </w:r>
          </w:p>
          <w:p w:rsidR="00411485" w:rsidRDefault="004114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411485" w:rsidRDefault="004114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11485" w:rsidRDefault="004114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1485">
          <w:footerReference w:type="even" r:id="rId8"/>
          <w:footerReference w:type="default" r:id="rId9"/>
          <w:pgSz w:w="11906" w:h="16838"/>
          <w:pgMar w:top="1276" w:right="1274" w:bottom="0" w:left="1418" w:header="709" w:footer="709" w:gutter="0"/>
          <w:pgNumType w:start="1"/>
          <w:cols w:space="720"/>
          <w:titlePg/>
        </w:sectPr>
      </w:pPr>
    </w:p>
    <w:p w:rsidR="00411485" w:rsidRDefault="00D91A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lastRenderedPageBreak/>
        <w:br w:type="page"/>
      </w:r>
    </w:p>
    <w:p w:rsidR="00411485" w:rsidRDefault="00D91A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ПЕРЕДМОВА</w:t>
      </w:r>
    </w:p>
    <w:p w:rsidR="00411485" w:rsidRDefault="004114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D91ADF" w:rsidP="00D91AD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91ADF">
        <w:rPr>
          <w:rFonts w:ascii="Times New Roman" w:eastAsia="Times New Roman" w:hAnsi="Times New Roman" w:cs="Times New Roman"/>
          <w:sz w:val="28"/>
          <w:szCs w:val="28"/>
        </w:rPr>
        <w:t xml:space="preserve">Освітньо-професійна програма “Математика та інформатика” </w:t>
      </w: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>другого (маг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істерського) рівня вищої освіти</w:t>
      </w: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D91ADF">
        <w:rPr>
          <w:rFonts w:ascii="Times New Roman" w:eastAsia="Times New Roman" w:hAnsi="Times New Roman" w:cs="Times New Roman"/>
          <w:sz w:val="28"/>
          <w:szCs w:val="28"/>
        </w:rPr>
        <w:t xml:space="preserve">предметної спеціальності 014.04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845DF">
        <w:rPr>
          <w:rFonts w:ascii="Times New Roman" w:eastAsia="Times New Roman" w:hAnsi="Times New Roman" w:cs="Times New Roman"/>
          <w:sz w:val="28"/>
          <w:szCs w:val="28"/>
        </w:rPr>
        <w:t xml:space="preserve"> Середня освіта (М</w:t>
      </w:r>
      <w:r w:rsidRPr="00D91ADF">
        <w:rPr>
          <w:rFonts w:ascii="Times New Roman" w:eastAsia="Times New Roman" w:hAnsi="Times New Roman" w:cs="Times New Roman"/>
          <w:sz w:val="28"/>
          <w:szCs w:val="28"/>
        </w:rPr>
        <w:t xml:space="preserve">атематика) </w:t>
      </w: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розроблена відповідно до: </w:t>
      </w:r>
    </w:p>
    <w:p w:rsidR="00D91ADF" w:rsidRPr="00D91ADF" w:rsidRDefault="00D91ADF" w:rsidP="00D91ADF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D91ADF" w:rsidRPr="00D91ADF" w:rsidRDefault="00D91ADF" w:rsidP="00960F64">
      <w:pPr>
        <w:pStyle w:val="a7"/>
        <w:numPr>
          <w:ilvl w:val="0"/>
          <w:numId w:val="5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Закон України “Про вищу освіту” </w:t>
      </w:r>
    </w:p>
    <w:p w:rsidR="00411485" w:rsidRPr="00D91ADF" w:rsidRDefault="00A64025" w:rsidP="00960F64">
      <w:pPr>
        <w:pStyle w:val="a7"/>
        <w:spacing w:after="0" w:line="240" w:lineRule="auto"/>
        <w:ind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hyperlink r:id="rId10" w:anchor="Text">
        <w:r w:rsidR="00D91ADF" w:rsidRPr="00D91AD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https://zakon.rada.gov.ua/laws/show/1556-18#Text</w:t>
        </w:r>
      </w:hyperlink>
      <w:r w:rsidR="00D91ADF"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960F64" w:rsidRPr="00D91ADF" w:rsidRDefault="00960F64" w:rsidP="00960F64">
      <w:pPr>
        <w:pStyle w:val="a7"/>
        <w:numPr>
          <w:ilvl w:val="0"/>
          <w:numId w:val="5"/>
        </w:numPr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Закон України “Про освіту” </w:t>
      </w: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960F64" w:rsidRPr="00D91ADF" w:rsidRDefault="00A64025" w:rsidP="00960F64">
      <w:pPr>
        <w:pStyle w:val="a7"/>
        <w:spacing w:after="0" w:line="240" w:lineRule="auto"/>
        <w:ind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hyperlink r:id="rId11" w:anchor="Text">
        <w:r w:rsidR="00960F64" w:rsidRPr="00D91AD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https://zakon.rada.gov.ua/laws/show/2145-19#Text</w:t>
        </w:r>
      </w:hyperlink>
    </w:p>
    <w:p w:rsidR="00411485" w:rsidRPr="00960F64" w:rsidRDefault="00D91ADF" w:rsidP="00960F64">
      <w:pPr>
        <w:pStyle w:val="a7"/>
        <w:numPr>
          <w:ilvl w:val="0"/>
          <w:numId w:val="5"/>
        </w:num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960F64">
        <w:rPr>
          <w:rFonts w:ascii="Times New Roman" w:eastAsia="Times New Roman" w:hAnsi="Times New Roman" w:cs="Times New Roman"/>
          <w:color w:val="00000A"/>
          <w:sz w:val="28"/>
          <w:szCs w:val="28"/>
        </w:rPr>
        <w:t>Професійний стандарт за професією “Вчителя закладу загальної середньої освіти” (затверджений Міністерством розвитку економіки, торгівлі та сільського господарства, наказ №2736 від 23.12.2020)</w:t>
      </w:r>
    </w:p>
    <w:p w:rsidR="00411485" w:rsidRPr="00D91ADF" w:rsidRDefault="00D91ADF" w:rsidP="00960F64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hyperlink r:id="rId12">
        <w:r w:rsidRPr="00D91AD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https://nus.org.ua/wpcontent/uploads/2020/12/Nakaz_2736.pdf</w:t>
        </w:r>
      </w:hyperlink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</w:p>
    <w:p w:rsidR="00411485" w:rsidRPr="00D91ADF" w:rsidRDefault="00D91ADF" w:rsidP="00960F64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Національна рамка кваліфікацій </w:t>
      </w:r>
    </w:p>
    <w:p w:rsidR="00411485" w:rsidRPr="00D91ADF" w:rsidRDefault="00A64025" w:rsidP="00960F64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hyperlink r:id="rId13">
        <w:r w:rsidR="00D91ADF" w:rsidRPr="00D91AD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https://mon.gov.ua/ua/osvita/nacionalna-ramka-kvalifikacij/rivni-nacionalnoyi-ramki-kvalifikacij</w:t>
        </w:r>
      </w:hyperlink>
      <w:r w:rsidR="00D91ADF"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</w:p>
    <w:p w:rsidR="00411485" w:rsidRPr="00D91ADF" w:rsidRDefault="00D91ADF" w:rsidP="00960F64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5. Класифікатор професій: ДК 003:2010. </w:t>
      </w:r>
    </w:p>
    <w:p w:rsidR="00411485" w:rsidRPr="00D91ADF" w:rsidRDefault="00A64025" w:rsidP="00960F64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hyperlink r:id="rId14" w:anchor="Text">
        <w:r w:rsidR="00D91ADF" w:rsidRPr="00D91AD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https://zakon.rada.gov.ua/rada/show/va327609-10#Text</w:t>
        </w:r>
      </w:hyperlink>
      <w:r w:rsidR="00D91ADF"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</w:p>
    <w:p w:rsidR="00411485" w:rsidRPr="00D91ADF" w:rsidRDefault="00D91ADF" w:rsidP="00960F64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</w:rPr>
      </w:pP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>6. Концепція розвитку педагогічної освіти (Наказ №776 від 16.07.2018)</w:t>
      </w:r>
    </w:p>
    <w:p w:rsidR="00411485" w:rsidRPr="00D91ADF" w:rsidRDefault="00A64025" w:rsidP="00960F64">
      <w:pPr>
        <w:spacing w:after="0" w:line="240" w:lineRule="auto"/>
        <w:ind w:left="720" w:hanging="11"/>
        <w:rPr>
          <w:rFonts w:ascii="Times New Roman" w:eastAsia="Times New Roman" w:hAnsi="Times New Roman" w:cs="Times New Roman"/>
          <w:sz w:val="28"/>
          <w:szCs w:val="28"/>
        </w:rPr>
      </w:pPr>
      <w:hyperlink r:id="rId15">
        <w:r w:rsidR="00D91ADF" w:rsidRPr="00D91ADF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https://mon.gov.ua/ua/npa/pro-zatverdzhennya-koncepciyi-rozvitku-pedagogichnoyi-osviti</w:t>
        </w:r>
      </w:hyperlink>
    </w:p>
    <w:p w:rsidR="00411485" w:rsidRPr="00D91ADF" w:rsidRDefault="00411485" w:rsidP="00D91A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11485" w:rsidRPr="00D91ADF" w:rsidRDefault="00D91ADF" w:rsidP="00D91AD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Робоча група</w:t>
      </w:r>
    </w:p>
    <w:p w:rsidR="00411485" w:rsidRPr="00D91ADF" w:rsidRDefault="00D91ADF" w:rsidP="00D91AD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ADF">
        <w:rPr>
          <w:rFonts w:ascii="Times New Roman" w:eastAsia="Times New Roman" w:hAnsi="Times New Roman" w:cs="Times New Roman"/>
          <w:b/>
          <w:sz w:val="28"/>
          <w:szCs w:val="28"/>
        </w:rPr>
        <w:t>Мартинюк Ольга Василівна</w:t>
      </w:r>
      <w:r w:rsidRPr="00D91A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>доктор фізико-математичних наук, професор кафедри алгебри та інформатики, гарант програми</w:t>
      </w:r>
    </w:p>
    <w:p w:rsidR="00411485" w:rsidRPr="00D91ADF" w:rsidRDefault="00D91ADF" w:rsidP="00D91AD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ADF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Житарюк</w:t>
      </w:r>
      <w:proofErr w:type="spellEnd"/>
      <w:r w:rsidRPr="00D91ADF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Іван Васильович</w:t>
      </w:r>
      <w:r w:rsidRPr="00D91ADF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r w:rsidRPr="00D91ADF">
        <w:rPr>
          <w:rFonts w:ascii="Times New Roman" w:eastAsia="Times New Roman" w:hAnsi="Times New Roman" w:cs="Times New Roman"/>
          <w:sz w:val="28"/>
          <w:szCs w:val="28"/>
        </w:rPr>
        <w:t xml:space="preserve">доктор історичних наук, кандидат фізико-математичних наук, професор кафедри алгебри та інформатики </w:t>
      </w:r>
    </w:p>
    <w:p w:rsidR="00411485" w:rsidRPr="00D91ADF" w:rsidRDefault="00D91ADF" w:rsidP="00D91AD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1ADF">
        <w:rPr>
          <w:rFonts w:ascii="Times New Roman" w:eastAsia="Times New Roman" w:hAnsi="Times New Roman" w:cs="Times New Roman"/>
          <w:b/>
          <w:sz w:val="28"/>
          <w:szCs w:val="28"/>
        </w:rPr>
        <w:t>Колісник Руслана Степанівна</w:t>
      </w:r>
      <w:r w:rsidRPr="00D91ADF">
        <w:rPr>
          <w:rFonts w:ascii="Times New Roman" w:eastAsia="Times New Roman" w:hAnsi="Times New Roman" w:cs="Times New Roman"/>
          <w:sz w:val="28"/>
          <w:szCs w:val="28"/>
        </w:rPr>
        <w:t>, кандидат фізико-математичних наук, доцент, завідувач кафедри алгебри та інформатики</w:t>
      </w:r>
    </w:p>
    <w:p w:rsidR="00411485" w:rsidRPr="00D91ADF" w:rsidRDefault="00D91ADF" w:rsidP="00D91AD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ADF">
        <w:rPr>
          <w:rFonts w:ascii="Times New Roman" w:eastAsia="Times New Roman" w:hAnsi="Times New Roman" w:cs="Times New Roman"/>
          <w:b/>
          <w:sz w:val="28"/>
          <w:szCs w:val="28"/>
        </w:rPr>
        <w:t>Сікора</w:t>
      </w:r>
      <w:proofErr w:type="spellEnd"/>
      <w:r w:rsidRPr="00D91ADF">
        <w:rPr>
          <w:rFonts w:ascii="Times New Roman" w:eastAsia="Times New Roman" w:hAnsi="Times New Roman" w:cs="Times New Roman"/>
          <w:b/>
          <w:sz w:val="28"/>
          <w:szCs w:val="28"/>
        </w:rPr>
        <w:t xml:space="preserve"> Віра Степанівна</w:t>
      </w:r>
      <w:r w:rsidRPr="00D91ADF">
        <w:rPr>
          <w:rFonts w:ascii="Times New Roman" w:eastAsia="Times New Roman" w:hAnsi="Times New Roman" w:cs="Times New Roman"/>
          <w:sz w:val="28"/>
          <w:szCs w:val="28"/>
        </w:rPr>
        <w:t>, кандидат фізико-математичних наук, доцент кафедри алгебри та інформатики</w:t>
      </w:r>
    </w:p>
    <w:p w:rsidR="00411485" w:rsidRPr="00D91ADF" w:rsidRDefault="00D91ADF" w:rsidP="00D91AD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ADF">
        <w:rPr>
          <w:rFonts w:ascii="Times New Roman" w:eastAsia="Times New Roman" w:hAnsi="Times New Roman" w:cs="Times New Roman"/>
          <w:b/>
          <w:sz w:val="28"/>
          <w:szCs w:val="28"/>
        </w:rPr>
        <w:t>Яцько</w:t>
      </w:r>
      <w:proofErr w:type="spellEnd"/>
      <w:r w:rsidRPr="00D91ADF">
        <w:rPr>
          <w:rFonts w:ascii="Times New Roman" w:eastAsia="Times New Roman" w:hAnsi="Times New Roman" w:cs="Times New Roman"/>
          <w:b/>
          <w:sz w:val="28"/>
          <w:szCs w:val="28"/>
        </w:rPr>
        <w:t xml:space="preserve"> Оксана Мирославівна</w:t>
      </w:r>
      <w:r w:rsidRPr="00D91ADF">
        <w:rPr>
          <w:rFonts w:ascii="Times New Roman" w:eastAsia="Times New Roman" w:hAnsi="Times New Roman" w:cs="Times New Roman"/>
          <w:sz w:val="28"/>
          <w:szCs w:val="28"/>
        </w:rPr>
        <w:t>, кандидат педагогічних наук, доцент кафедри комп'ютерних наук</w:t>
      </w:r>
    </w:p>
    <w:p w:rsidR="00411485" w:rsidRPr="00D91ADF" w:rsidRDefault="00D91ADF" w:rsidP="00D91AD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91ADF">
        <w:rPr>
          <w:rFonts w:ascii="Times New Roman" w:eastAsia="Times New Roman" w:hAnsi="Times New Roman" w:cs="Times New Roman"/>
          <w:b/>
          <w:sz w:val="28"/>
          <w:szCs w:val="28"/>
        </w:rPr>
        <w:t>Кінащук</w:t>
      </w:r>
      <w:proofErr w:type="spellEnd"/>
      <w:r w:rsidRPr="00D91ADF">
        <w:rPr>
          <w:rFonts w:ascii="Times New Roman" w:eastAsia="Times New Roman" w:hAnsi="Times New Roman" w:cs="Times New Roman"/>
          <w:b/>
          <w:sz w:val="28"/>
          <w:szCs w:val="28"/>
        </w:rPr>
        <w:t xml:space="preserve"> Наталія Леонідівна</w:t>
      </w:r>
      <w:r w:rsidRPr="00D91ADF">
        <w:rPr>
          <w:rFonts w:ascii="Times New Roman" w:eastAsia="Times New Roman" w:hAnsi="Times New Roman" w:cs="Times New Roman"/>
          <w:sz w:val="28"/>
          <w:szCs w:val="28"/>
        </w:rPr>
        <w:t xml:space="preserve">, учитель-методист, спеціаліст вищої категорії, директор Чернівецького ліцею № 1 математичного та економічного профілів Чернівецької міської ради </w:t>
      </w:r>
    </w:p>
    <w:p w:rsidR="00411485" w:rsidRDefault="00411485" w:rsidP="00D91ADF">
      <w:pPr>
        <w:spacing w:after="0" w:line="276" w:lineRule="auto"/>
        <w:ind w:left="14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1ADF" w:rsidRDefault="00D91AD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411485" w:rsidRDefault="00D91AD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Профіль освітньої програми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«Математика та інформатика» </w:t>
      </w:r>
      <w:r w:rsidR="008845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845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предметної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спеціальності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014.04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Середня освіта (Математика)</w:t>
      </w:r>
    </w:p>
    <w:p w:rsidR="00411485" w:rsidRDefault="00411485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p w:rsidR="00411485" w:rsidRDefault="00411485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6"/>
          <w:szCs w:val="6"/>
        </w:rPr>
      </w:pPr>
    </w:p>
    <w:tbl>
      <w:tblPr>
        <w:tblStyle w:val="af4"/>
        <w:tblW w:w="9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7632"/>
      </w:tblGrid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– Загальна інформація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632" w:type="dxa"/>
          </w:tcPr>
          <w:p w:rsidR="00411485" w:rsidRDefault="00D91A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Чернівецький національний університет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1485" w:rsidRDefault="00D91A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 математики та інформатики. </w:t>
            </w:r>
          </w:p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алгебри та інформатики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Ступінь вищої освіти: Магістр.</w:t>
            </w:r>
          </w:p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Освітня кваліфікація – Магістр. Середня освіта (Математика). Математика та інформатика</w:t>
            </w:r>
          </w:p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Професійна кваліфікація – Вчитель математики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632" w:type="dxa"/>
          </w:tcPr>
          <w:p w:rsidR="00411485" w:rsidRDefault="00D91AD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та інформатика</w:t>
            </w:r>
          </w:p>
          <w:p w:rsidR="00411485" w:rsidRDefault="0041148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632" w:type="dxa"/>
          </w:tcPr>
          <w:p w:rsidR="00411485" w:rsidRDefault="00D9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магістра, одиничний </w:t>
            </w:r>
          </w:p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навчання 1 роки 4 місяці (90 кредитів ЄКТС)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7632" w:type="dxa"/>
          </w:tcPr>
          <w:p w:rsidR="00411485" w:rsidRDefault="00D9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Сертифікат про акредитацію - НД 2588495 дійсний до 01.07.2022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Цикл/рівень</w:t>
            </w:r>
          </w:p>
          <w:p w:rsidR="00411485" w:rsidRDefault="00411485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2" w:type="dxa"/>
          </w:tcPr>
          <w:p w:rsidR="00411485" w:rsidRDefault="00D91ADF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FQ-EHEA – другий цикл; НРК України – 7 рівень, EQF-LLL – 7 рівень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Передумови</w:t>
            </w:r>
          </w:p>
        </w:tc>
        <w:tc>
          <w:tcPr>
            <w:tcW w:w="7632" w:type="dxa"/>
          </w:tcPr>
          <w:p w:rsidR="00411485" w:rsidRDefault="00D91A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базі ступеня бакалавр.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01.07.2022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632" w:type="dxa"/>
          </w:tcPr>
          <w:p w:rsidR="00411485" w:rsidRDefault="00A64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16" w:history="1">
              <w:r w:rsidR="00D91ADF" w:rsidRPr="00653B2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http://fmi.org.ua/index.php?option=com_content&amp;view=category&amp;layout=blog&amp;id=66&amp;Itemid=188</w:t>
              </w:r>
            </w:hyperlink>
            <w:r w:rsidR="00D91A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11485" w:rsidRDefault="00A640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>
              <w:r w:rsidR="00D91AD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https://algebra.chnu.edu.ua/studentu/osvitni-prohramy-ta-robochi-plany/</w:t>
              </w:r>
            </w:hyperlink>
            <w:r w:rsidR="00D91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– Мета освітньої програми</w:t>
            </w:r>
          </w:p>
        </w:tc>
      </w:tr>
      <w:tr w:rsidR="00411485">
        <w:tc>
          <w:tcPr>
            <w:tcW w:w="9466" w:type="dxa"/>
            <w:gridSpan w:val="2"/>
          </w:tcPr>
          <w:p w:rsidR="00411485" w:rsidRDefault="00D9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Підготовка висококваліфікованих конкурентоздатних фахівців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математики, які здатні розв’язувати складні спеціалізовані задачі, що характеризуються комплексністю та невизначеністю умов, виконувати завдання науково-дослідницького та інноваційного характеру в галузях математики, інформатики, педагогіки й методики середньої освіти, здійснювати </w:t>
            </w:r>
            <w:r w:rsidR="00977533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науково-педагогічну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діяльність, займатися безперервною самоосвітою та професійним самовдосконаленням.</w:t>
            </w:r>
          </w:p>
        </w:tc>
      </w:tr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3 - Характеристика освітньої програми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Предметна область (галузь знань,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спеціальність, спеціалізація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наявності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))</w:t>
            </w:r>
          </w:p>
        </w:tc>
        <w:tc>
          <w:tcPr>
            <w:tcW w:w="7632" w:type="dxa"/>
          </w:tcPr>
          <w:p w:rsidR="00411485" w:rsidRDefault="00D91ADF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Галузь знань: 01 Освіта/Педагогіка</w:t>
            </w:r>
          </w:p>
          <w:p w:rsidR="00411485" w:rsidRDefault="00D91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Спеціальність: 014 Середня освіта </w:t>
            </w:r>
          </w:p>
          <w:p w:rsidR="00411485" w:rsidRDefault="00D91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 спеціальність: 014.04 Середня освіта (Математика)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632" w:type="dxa"/>
          </w:tcPr>
          <w:p w:rsidR="00411485" w:rsidRDefault="00D91A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Освітньо-професійна програма підготовки магістрів, має прикладну орієнтацію та спрямована на підготовку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вчителів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 до </w:t>
            </w:r>
            <w:r w:rsidR="00977533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ої та науково-дослідницької діяльності. 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632" w:type="dxa"/>
          </w:tcPr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Освітньо-професійна програма спрямована на забезпечення фахової діяльності випускників за напрямами: навчальним (викладання базових,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-орієнтованих дисциплін зі спеціальності,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технологій їх навчання); організаційно-виховним (організація виховної роботи зі здобувачами освіти); науково-дослідним (дослідження у галузях математики, методики навчання математики та інформаційних технологій).</w:t>
            </w:r>
          </w:p>
          <w:p w:rsidR="00411485" w:rsidRDefault="00D91ADF" w:rsidP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Ключові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освітній процес, середня освіта, математика, інформатика, педагогіка, методика навчання, технології навчання, інформаційні технології, </w:t>
            </w:r>
            <w:r w:rsidR="00977533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діяльність.</w:t>
            </w:r>
          </w:p>
        </w:tc>
      </w:tr>
      <w:tr w:rsidR="00411485">
        <w:trPr>
          <w:trHeight w:val="698"/>
        </w:trPr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Особливості програми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передбачає підготовку вчителів математики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когнітивно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-візуального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студентоцентрованого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підходів з використанням інноваційних методів навчання. </w:t>
            </w:r>
          </w:p>
          <w:p w:rsidR="00411485" w:rsidRDefault="00D91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Передбачено можливість побудови індивідуальної освітньої траєкторії  через вибір дисциплін з каталогу вибіркових дисциплін ОПП, що регулярно оновлюється та дозволяє враховувати тенденції розвитку науки та цифрових технологій, а також  зміни в галузі освіти. </w:t>
            </w:r>
          </w:p>
          <w:p w:rsidR="00411485" w:rsidRDefault="00D9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 особливостей:</w:t>
            </w:r>
          </w:p>
          <w:p w:rsidR="00411485" w:rsidRDefault="00D9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Активна співпраця з ЗЗСО міста Чернівці та Міським центром професійного розвитку педагогічних працівників (МЦПРПП) Чернівецької міської ради. Залучення провідних вчителів математики та інформатики міста та методистів МЦПРПП до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круглих столів, майстер-класів у рамках діяльності школи «Шлях до омріяної професії».</w:t>
            </w:r>
          </w:p>
          <w:p w:rsidR="00411485" w:rsidRDefault="00D9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Мобільність за програмою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рекомендується, але не є обов’язковою; всі студенти беруть участь в спеціальних семінарах разом зі студентами-учасниками програми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11485" w:rsidRDefault="00D9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Участь здобувачів у міжнародних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що спрямовані на розвиток інклюзивної освіти в Україні: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італійсько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-українські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Ukraine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(«Мені не байдуже в Україні»),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Supporting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inclusion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parenthood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Ukraine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(«Підтримка шкільної інклюзії та батьківства в Україні»).</w:t>
            </w:r>
          </w:p>
          <w:p w:rsidR="00411485" w:rsidRPr="006C10AA" w:rsidRDefault="00D91ADF" w:rsidP="006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Залучення здобувачів освіти до проведення занять з математики для школярів міста та області в рамках співпраці факультету математики та інформатики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Науково-творчим об'єднанням математичного спрямування міста Чернівці «Математична майстерня».</w:t>
            </w:r>
          </w:p>
        </w:tc>
      </w:tr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 – Придатність випускників </w:t>
            </w:r>
          </w:p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632" w:type="dxa"/>
          </w:tcPr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в закладах загальної середньої освіти різного типу та форми власності (вчитель математики, керівник гуртка тощо).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професії та її код (за Національним класифікатором України ДК 003:2010 „Класифікатор професій”):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2320 Вчитель закладу загальної середньої освіти.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Подальше навчання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 надає можливість продовження навчання за програмою третього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-наукового) рівня вищої освіти  за даною або суміжною галуззю знань; набуття кваліфікації за іншими спеціальностями в системі вищої та післядипломної освіти.</w:t>
            </w:r>
          </w:p>
        </w:tc>
      </w:tr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– Викладання та оцінювання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Викладання та навчання</w:t>
            </w:r>
          </w:p>
        </w:tc>
        <w:tc>
          <w:tcPr>
            <w:tcW w:w="7632" w:type="dxa"/>
          </w:tcPr>
          <w:p w:rsidR="00411485" w:rsidRDefault="00D9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навчання, проблемно-орієнтоване навчання, самонавчання, навчання з використанням інтерактивних,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інформаційно-комунікаційних освітніх технологій, навчання з використанням індивідуально-творчого, комунікативно-діяльнісного,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дослідницького підходів. </w:t>
            </w:r>
          </w:p>
          <w:p w:rsidR="00411485" w:rsidRDefault="00D9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Викладання та навчання проводиться у вигляді: лекцій, практичних, лабораторних, семінарських занять, консультацій, самостійної роботи, наукових досліджень за темою  дипломної роботи та практик. </w:t>
            </w:r>
          </w:p>
          <w:p w:rsidR="00411485" w:rsidRDefault="00D91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Практикується проведення лекцій,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майстер-класів професіоналами-практиками та гостьовими лекторами.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оцінювання навчальних досягнень здобувачів вищої освіти за всіма видами навчальної діяльності передбачає: поточний, підсумковий контроль (усні та письмові екзамени, заліки, індивідуальні завдання, контрольні роботи, тестування,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захист звітів з практики), атестація здобувачів -  захист дипломної роботи. </w:t>
            </w:r>
          </w:p>
        </w:tc>
      </w:tr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– Програмні компетентності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632" w:type="dxa"/>
          </w:tcPr>
          <w:p w:rsidR="00411485" w:rsidRDefault="00D9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розв’язувати складні спеціалізовані задачі та вирішувати практичні проблеми освітньої галузі із застосуванням теорій та методів освітніх наук, теоретичних та практичних знань з математики, цифрових технологій в міждисциплінарному контексті, що передбачає проведення наукових досліджень, готовність до інноваційної діяльності та характеризується комплексністю і невизначеністю умов організації освітнього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 в закладах середньої освіти.</w:t>
            </w:r>
          </w:p>
        </w:tc>
      </w:tr>
      <w:tr w:rsidR="00411485">
        <w:trPr>
          <w:trHeight w:val="983"/>
        </w:trPr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632" w:type="dxa"/>
          </w:tcPr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.Здатність учитися, оволодівати сучасними знаннями та застосовувати їх у практичних ситуаціях, а також підвищувати професійний рівень впродовж життя.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ЗК2.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проведення досліджень в освітній сфері.</w:t>
            </w:r>
          </w:p>
          <w:p w:rsidR="00411485" w:rsidRDefault="00D9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ЗК3.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діяти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приймати ефективні рішення у професійній діяльності та відповідати за їх виконання, адаптуватися в різних професійних ситуаціях, мотивувати людей до досягнення спільної мети.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до міжособистісної взаємодії, роботи в команді, спілкування з представниками інших професійних груп різного рівня, дотримання принципів професійної етики.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ЗК5.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до генерування нових ідей, виявлення та розв’язання проблем, ініціативності, творчості та підприємливості.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ЗК 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спілкуватися державною мовою, виявляти повагу та цінувати українську національну культуру, багатоманітність та мультикультурність у суспільстві; здатність до вираження національної культурної ідентичності, творчого самовираження.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ЗК 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діяти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свідомо на засадах поваги до прав і свобод людини та громадянина; реалізувати свої права та обов’язки; усвідомлювати цінності громадянського суспільства та необхідність його сталого розвитку. </w:t>
            </w:r>
          </w:p>
        </w:tc>
      </w:tr>
      <w:tr w:rsidR="00411485" w:rsidTr="005A781F">
        <w:trPr>
          <w:trHeight w:val="2127"/>
        </w:trPr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  <w:p w:rsidR="00411485" w:rsidRDefault="00411485" w:rsidP="005A78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32" w:type="dxa"/>
          </w:tcPr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ФК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й організовувати освітній процес з урахуванням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вікових та індивідуальних особливостей здобувачів освіти,  їх освітніх потреб і можливостей; створювати безпечне освітнє середовище, обирати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відповідні методики та технології навчання, ефективно застосовувати педагогічні концепції, забезпечувати партнерську взаємодію з учасниками освітнього процесу.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інтегрувати теоретичні та практичні знання для розв’язання професійних задач та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здобувачів освіти, використовуючи традиційні та інноваційні методи і технології.</w:t>
            </w:r>
          </w:p>
          <w:p w:rsidR="00411485" w:rsidRDefault="00D91AD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орієнтуватися в інформаційному просторі, здійснювати пошук і критично оцінювати інформацію;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добирати і використовувати інформаційні технології та освітні он-лайн сервіси, аналізувати й оцінювати доцільність та ефективність їх застосування в професійній діяльності.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Здатність аналізувати та критично оцінювати власну </w:t>
            </w:r>
            <w:r w:rsidR="00977533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науково-педагогічн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діяльність, продовжувати навчання з високим ступенем автономії,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проєктуючи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траєкторію власного професійного розвитку та здійснюючи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самокорекцію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своїх професійних якостей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  <w:highlight w:val="white"/>
              </w:rPr>
              <w:t>.</w:t>
            </w:r>
          </w:p>
          <w:p w:rsidR="00411485" w:rsidRDefault="00D91AD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Здатність здійснювати інтегроване навчання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різні форми та методи діагностування досягнень здобувачів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засадах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компетентнісного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підходу, аналізувати результати їхнього навчання.</w:t>
            </w:r>
            <w:r>
              <w:t xml:space="preserve">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до організації та координування самостійної та дослідницької роботи здобувачів освіти в предметній області;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здійснювати педагогічний супровід процесів соціалізації та професійного самовизначення здобувачів освіти, підготовки їх до свідомого вибору життєвого шляху;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формувати в них ціннісні ставлення та розвивати критичне мислення. </w:t>
            </w:r>
          </w:p>
          <w:p w:rsidR="00411485" w:rsidRDefault="00D91AD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демонструвати та застосовувати фундаментальні знання предметної області у професійній діяльності; добирати та використовувати сучасні та ефективні методики і технології навчання математики та інформатики.</w:t>
            </w:r>
            <w:r>
              <w:t xml:space="preserve"> </w:t>
            </w:r>
          </w:p>
          <w:p w:rsidR="00411485" w:rsidRDefault="00D91AD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ініціювати й проводити наукові дослідження у сфері теорії та методики викладання математики, інформатики; формулювати нові гіпотези та наукові задачі предметної області, вибирати ефективні  методи їх розв’язання; здатність представляти результати власного дослідження засобами сучасних цифрових технологій.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Здатність ефективно використовувати наявні та створювати нові електронні освітні ресурси,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наповнювати їх якісними навчально-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lastRenderedPageBreak/>
              <w:t>методичними матеріалами,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необхідними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для продуктивної організації навчально-виховного процесу.</w:t>
            </w:r>
          </w:p>
          <w:p w:rsidR="005A781F" w:rsidRDefault="00D91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використовувати спеціальну професійну термінологію; подавати математичні міркування у придатній для цільової аудиторії формі, аналізувати обґрунтовані математичні судження інших осіб, залучених до розв’язання тієї самої задачі. </w:t>
            </w:r>
          </w:p>
        </w:tc>
      </w:tr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411485">
        <w:tc>
          <w:tcPr>
            <w:tcW w:w="1834" w:type="dxa"/>
          </w:tcPr>
          <w:p w:rsidR="00411485" w:rsidRDefault="004114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32" w:type="dxa"/>
          </w:tcPr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Застосовувати теоретичні знання освітньої галузі та набуті практичні навички у </w:t>
            </w:r>
            <w:r w:rsidR="00977533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науково-педагогічн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ій діяльності, враховуючи індивідуальні особливості здобувачів освіти.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Аналізувати та критично оцінювати власну </w:t>
            </w:r>
            <w:r w:rsidR="00977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науково-педагогічн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діяльність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підвищувати свій професійний рівень, навчаючись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високим ступенем автономії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впродовж життя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демонструвати вміння працювати в команді, організовувати індивідуальну і групову роботу, аналізувати та оцінювати її ефективність.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Вільно спілкуватися з професійних і наукових питань державною</w:t>
            </w:r>
            <w:r w:rsidR="009C0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цінувати українську національну культуру та формувати у </w:t>
            </w:r>
            <w:r w:rsidR="00E67CB1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національно-культурну ідентичність.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Володіти основними теоріями, принципами і методами планування, організації та управління робочими, навчальними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процесами, які є складними, непередбачуваними та потребують нових стратегічних підходів.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Здійснювати науково-дослідну діяльність, розв’язуючи задачі предметної області; застосовувати інноваційні методи і дослідницькі навички під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діяльності, демонструвати результати власного дослідження засобами сучасних цифрових технологій.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Використовувати цифрові технології, он-лайн сервіси та освітні електронні ресурси в професійній діяльності; демонструвати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-інформаційну грамотність та цифрову компетентність.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Організовувати різні форми навчання (традиційне, дистанційне, змішане) з урахуванням їх особливостей; застосовувати відповідні методи оцінювання навчальних досягнень здобувачів освіти, використовуючи при цьому різні форми та засоби.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Демонструвати знання сучасних наукових досягнень математичної науки та тенденцій її розвитку, вміння використовувати їх під час викладання предметів математичного циклу.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Здійснювати пошук наукових джерел, які належать д</w:t>
            </w:r>
            <w:r w:rsidR="006C10AA">
              <w:rPr>
                <w:rFonts w:ascii="Times New Roman" w:eastAsia="Times New Roman" w:hAnsi="Times New Roman" w:cs="Times New Roman"/>
                <w:sz w:val="24"/>
                <w:szCs w:val="24"/>
              </w:rPr>
              <w:t>о сфери професійної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 правильно використовувати їх з дотриманням вимог академічної доброчесності.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Виявляти лідерські навички, вміння адаптуватися та діяти в нових непередбачуваних ситуаціях, готовність брати відповідальність, приймати рішення, усвідомлювати їх ризики та наслідки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генерувати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нові ідеї, проявляти ініціативність та підприємливість; займати активну життєву та громадянську позицію.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безпечне і комфортне освітнє середовище, виявляти навички ефективної комунікаційної взаємодії з усіма учасниками освітнього процесу; проявляти креативність та реалізовувати творчий потенціал.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Інтегрувати набуті знання та розв’язувати складні задачі у широких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контекстах; обирати ефективні методи розв’язування зазначених задач.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Володіти систематизованими знаннями предметної галузі, зокрема математики, методики навчання математики, методів наукових математичних досліджень.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Демонструвати знання основних психолого-педагогічних теорій,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навчання математики та інформатики, ефективно використовувати їх у професійній діяльності.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Демонструвати математичну компетентність, у доступній формі доносити власні математичні знання, міркування та висновки з метою досягнення максимальної результативності для кожної цільової аудиторії.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ПРН 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Здійснювати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тьюторську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діяльність, організовуючи самостійну та дослідницьку роботу </w:t>
            </w:r>
            <w:r w:rsidR="00E67CB1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розвивати їх критичне мислення, допомагаючи самовиразитись і свідомо обрати індивідуальний шлях саморозвитку. </w:t>
            </w:r>
          </w:p>
          <w:p w:rsidR="00411485" w:rsidRDefault="00D91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ПРН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Спостерігати, аналізувати та узагальнювати досвід провідних фахівців, використовувати його прогресивні елементи в професійній діяльності.</w:t>
            </w:r>
          </w:p>
        </w:tc>
      </w:tr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 забезпечення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Керівник та члени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групи освітньо-професійної програми, професорсько-викладацький склад, що забезпечують ОП, відповідають кадровим вимогам Ліцензійних умов провадження освітньої діяльності на другому (магістерському) рівні вищої освіти. </w:t>
            </w:r>
          </w:p>
          <w:p w:rsidR="00411485" w:rsidRDefault="00D91ADF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Всі викладачі періодично проходять стажування, навчаються за програмами підвищення кваліфікації, беруть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тренінгах,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1485" w:rsidRDefault="00D91ADF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викладання залучені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фахівці галузі,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вчителі математики та інформатики, які є спеціалістами  вищої категорії.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632" w:type="dxa"/>
          </w:tcPr>
          <w:p w:rsidR="00411485" w:rsidRDefault="00D91ADF" w:rsidP="006C10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Забезпеченість аудиторним фондом, кабінетом математики, комп'ютерними робочими місцями, лабораторіями (зокрема, спеціалізованими), необхідними для виконання навчальних планів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мінімальний відсоток кількості аудиторій з мультимедійним обладнанням відповідає Ліцензійним умовам провадження освітньої діяльності. Наявність соціально-побутової інфраструктури: бібліотеки, у тому числі читального залу; пунктів харчування, актового залу, спортивного залу, спортивних майданчиків,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медичного пункту.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Забезпеченість здобувачів вищої освіти гуртожитком.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Площі приміщень відповідають санітарним нормам та вимогам правил пожежної безпеки.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Офіційний сайт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Чернівецького національного університету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http://www.chnu.edu.ua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якому розміщена основна інформація про його діяльність (структура, ліцензії та сертифікати про акредитацію, освітня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-наукова / видавнича / атестаційна (наукових кадрів) діяльність, навчальні та наукові структурні підрозділи та їх склад, перелік навчальних дисциплін, правила прийому, контактна інформація).</w:t>
            </w:r>
          </w:p>
          <w:p w:rsidR="00411485" w:rsidRDefault="00D91AD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електронного навчання ЧНУ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https://moodle.chnu.edu.ua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на якому розміщенні курси та навчально-методичні матеріали з навчальних дисциплін навчального плану.</w:t>
            </w:r>
          </w:p>
          <w:p w:rsidR="00411485" w:rsidRDefault="00D91AD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Корпоративні облікові записи та доступ до застосунків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11485" w:rsidRDefault="00D91AD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Бібліотека українських та закордонних фахових періодичних видань з відповідного або спорідненого профілю, в т. ч. в електронному вигляді, електронний каталог, доступ до баз даних періодичних наукових видань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англійською мовою відповідного або спорідненого профілю, друковані фонди бібліотеки університету,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репозитарій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фондовий матеріал кафедр, що забезпечують ОП.</w:t>
            </w:r>
          </w:p>
          <w:p w:rsidR="00411485" w:rsidRDefault="00D91A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</w:tabs>
              <w:spacing w:after="120" w:line="240" w:lineRule="auto"/>
              <w:ind w:left="35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 план та пояснювальна записка до нього.</w:t>
            </w:r>
          </w:p>
          <w:p w:rsidR="00411485" w:rsidRDefault="00D91A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</w:tabs>
              <w:spacing w:after="120" w:line="240" w:lineRule="auto"/>
              <w:ind w:left="35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Робочі програми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силабуси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з навчальних дисциплін,  програми практичної підготовки, методичні матеріали для проведення атестації здобувачів.</w:t>
            </w:r>
          </w:p>
        </w:tc>
      </w:tr>
      <w:tr w:rsidR="00411485">
        <w:tc>
          <w:tcPr>
            <w:tcW w:w="9466" w:type="dxa"/>
            <w:gridSpan w:val="2"/>
            <w:shd w:val="clear" w:color="auto" w:fill="E0E0E0"/>
          </w:tcPr>
          <w:p w:rsidR="00411485" w:rsidRDefault="00D91A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– Академічна мобільність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632" w:type="dxa"/>
          </w:tcPr>
          <w:p w:rsidR="00411485" w:rsidRDefault="00D91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9" w:lineRule="auto"/>
              <w:ind w:lef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Укладені угоди про академічну  мобільність на основі двосторонніх</w:t>
            </w:r>
          </w:p>
          <w:p w:rsidR="00411485" w:rsidRDefault="00D91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договорів між Чернівецьким національним університетом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закладами вищої освіти України.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632" w:type="dxa"/>
          </w:tcPr>
          <w:p w:rsidR="00411485" w:rsidRDefault="00D91ADF">
            <w:pPr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Укладені угоди про міжнародну академічну мобільність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+) на основі двосторонніх договорів між Чернівецьким національним університетом імені Юрія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Федьковича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закладами вищої освіти країн-партнерів.</w:t>
            </w:r>
          </w:p>
        </w:tc>
      </w:tr>
      <w:tr w:rsidR="00411485">
        <w:tc>
          <w:tcPr>
            <w:tcW w:w="1834" w:type="dxa"/>
          </w:tcPr>
          <w:p w:rsidR="00411485" w:rsidRDefault="00D91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632" w:type="dxa"/>
          </w:tcPr>
          <w:p w:rsidR="00411485" w:rsidRDefault="00D91A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іноземних здобувачів вищої освіти можливе на загальних умовах з додатковим вивченням української мови.</w:t>
            </w:r>
          </w:p>
        </w:tc>
      </w:tr>
    </w:tbl>
    <w:p w:rsidR="00411485" w:rsidRDefault="00D91AD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411485" w:rsidRDefault="00D91ADF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411485" w:rsidRDefault="00D91ADF">
      <w:pPr>
        <w:widowControl w:val="0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 компонент ОПП</w:t>
      </w:r>
    </w:p>
    <w:tbl>
      <w:tblPr>
        <w:tblStyle w:val="af5"/>
        <w:tblW w:w="103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08"/>
        <w:gridCol w:w="6379"/>
        <w:gridCol w:w="16"/>
        <w:gridCol w:w="1118"/>
        <w:gridCol w:w="1417"/>
      </w:tblGrid>
      <w:tr w:rsidR="00FB4537" w:rsidTr="00FB4537">
        <w:trPr>
          <w:trHeight w:val="996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Шифр н/д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плані</w:t>
            </w:r>
          </w:p>
        </w:tc>
        <w:tc>
          <w:tcPr>
            <w:tcW w:w="6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Компоненти освітньої програми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(навчальні дисципліни, курсові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(роботи), практики, кваліфікаційна робота)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4537" w:rsidRDefault="00FB4537" w:rsidP="005C5B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К-сть кред.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контролю</w:t>
            </w:r>
          </w:p>
        </w:tc>
      </w:tr>
      <w:tr w:rsidR="00FB4537" w:rsidTr="00FB4537">
        <w:trPr>
          <w:trHeight w:val="3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1485" w:rsidTr="00FB4537">
        <w:trPr>
          <w:jc w:val="center"/>
        </w:trPr>
        <w:tc>
          <w:tcPr>
            <w:tcW w:w="103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485" w:rsidRDefault="00D91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Обов’язкові компоненти ОПП</w:t>
            </w:r>
          </w:p>
        </w:tc>
      </w:tr>
      <w:tr w:rsidR="00411485" w:rsidTr="00FB4537">
        <w:trPr>
          <w:jc w:val="center"/>
        </w:trPr>
        <w:tc>
          <w:tcPr>
            <w:tcW w:w="103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1485" w:rsidRDefault="00D91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FB4537" w:rsidTr="00FB4537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ЗПО1</w:t>
            </w:r>
          </w:p>
        </w:tc>
        <w:tc>
          <w:tcPr>
            <w:tcW w:w="6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B4537" w:rsidRDefault="00FB4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Філософія освіти і науки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B4537" w:rsidTr="00FB4537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ЗПО2</w:t>
            </w:r>
          </w:p>
        </w:tc>
        <w:tc>
          <w:tcPr>
            <w:tcW w:w="6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B4537" w:rsidRDefault="00FB4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Науково-методичний семінар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B4537" w:rsidRDefault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B4537" w:rsidTr="00FB4537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ЗПО3</w:t>
            </w:r>
          </w:p>
        </w:tc>
        <w:tc>
          <w:tcPr>
            <w:tcW w:w="6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FB4537" w:rsidRDefault="00FB45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Інформаційно-комунікаційні, хмарні технології в освіті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B4537" w:rsidRDefault="00FB45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ЗПО4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Зображення геометричних фігур у просторі та методика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 побудови плоских перерізів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іспит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ЗПО5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Дипломна робота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</w:t>
            </w:r>
          </w:p>
        </w:tc>
      </w:tr>
      <w:tr w:rsidR="000A4B7B" w:rsidTr="00FB4537">
        <w:trPr>
          <w:jc w:val="center"/>
        </w:trPr>
        <w:tc>
          <w:tcPr>
            <w:tcW w:w="1033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ППО1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Професійне та особистісне становлення вчителя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ППО2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Інклюзивна педагогіка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977533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ППО3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 викладання математики у закладах освіти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ППО4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Технології викладання інформатики у закладах освіти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A4B7B" w:rsidTr="002948AC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ППО5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викладання математики в закладах освіти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977533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ППО6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викладання інформатики в закладах освіти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C01A20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ППО7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Педагогічна практика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C01A20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ППО8</w:t>
            </w:r>
          </w:p>
        </w:tc>
        <w:tc>
          <w:tcPr>
            <w:tcW w:w="6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</w:t>
            </w:r>
          </w:p>
        </w:tc>
      </w:tr>
      <w:tr w:rsidR="000A4B7B" w:rsidTr="00FB4537">
        <w:trPr>
          <w:trHeight w:val="442"/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A4B7B" w:rsidRDefault="000A4B7B" w:rsidP="000A4B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Загальний обсяг обов'язкових компонент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61 (67,77%)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Вибіркові компоненти  ОП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4B7B" w:rsidRDefault="000A4B7B" w:rsidP="000A4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4B7B" w:rsidRDefault="000A4B7B" w:rsidP="000A4B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Дисципліни вільного вибору обираються студентами з каталогу вибіркових дисциплін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заліки, екзамени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4B7B" w:rsidRDefault="000A4B7B" w:rsidP="000A4B7B">
            <w:pPr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4B7B" w:rsidRDefault="000A4B7B" w:rsidP="000A4B7B">
            <w:pPr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(22,23%)</w:t>
            </w:r>
          </w:p>
        </w:tc>
      </w:tr>
      <w:tr w:rsidR="000A4B7B" w:rsidTr="00FB4537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4B7B" w:rsidRDefault="000A4B7B" w:rsidP="000A4B7B">
            <w:pPr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A4B7B" w:rsidRDefault="000A4B7B" w:rsidP="000A4B7B">
            <w:pPr>
              <w:ind w:right="1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4B7B" w:rsidRDefault="000A4B7B" w:rsidP="000A4B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5C5BA0" w:rsidRDefault="005C5B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1485" w:rsidRDefault="005C5BA0" w:rsidP="005C5B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D91AD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Структурно-логічна схема освітньо-професійної програми</w:t>
      </w:r>
    </w:p>
    <w:p w:rsidR="00411485" w:rsidRDefault="00D77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0"/>
          <w:szCs w:val="20"/>
        </w:rPr>
      </w:pPr>
      <w:r>
        <w:rPr>
          <w:noProof/>
        </w:rPr>
        <w:drawing>
          <wp:inline distT="0" distB="0" distL="0" distR="0" wp14:anchorId="4983375F" wp14:editId="42E37908">
            <wp:extent cx="6015355" cy="295656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59A4" w:rsidRDefault="009359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5B9BD5"/>
          <w:sz w:val="20"/>
          <w:szCs w:val="20"/>
        </w:rPr>
      </w:pPr>
    </w:p>
    <w:p w:rsidR="00411485" w:rsidRDefault="00D91AD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атестації здобувачів вищої освіти</w:t>
      </w:r>
    </w:p>
    <w:p w:rsidR="00411485" w:rsidRDefault="00D91AD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Атестація здобувачів закладів вищої освіти здійснюється відповідно до Закону України «Про вищу освіту», правил академічної доброчесності Чернівецького національного університету імені Юрія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Федьковича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Положень Чернівецького національного університету імені Юрія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Федьковича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організацію освітнього процесу», «Про атестацію здобувачів вищої освіти та організацію роботи Екзаменаційної комісії», «Про контроль і систему оцінювання результатів навчання здобувачів вищої освіти».</w:t>
      </w:r>
    </w:p>
    <w:p w:rsidR="00411485" w:rsidRDefault="00D91AD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Атестація здобувачів освітньої програми «Математика та інформатика» здійснюється у формі публічного захисту дипломної роботи на засіданні екзаменаційної комісії і завершується за рішенням екзаменаційної комісії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видачею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документу встановленого зразка про присудження їм ступеня вищої освіти Магістр, присвоєнням освітньої кваліфікації – Магістр. Середня освіта (Математика). Математика та інформатика та професійної кваліфікації – Вчитель математики. </w:t>
      </w:r>
    </w:p>
    <w:p w:rsidR="00411485" w:rsidRDefault="00D91A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411485">
          <w:footerReference w:type="default" r:id="rId21"/>
          <w:type w:val="continuous"/>
          <w:pgSz w:w="11906" w:h="16838"/>
          <w:pgMar w:top="1095" w:right="1219" w:bottom="993" w:left="1214" w:header="0" w:footer="3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11485" w:rsidRDefault="00D91ADF" w:rsidP="009359A4">
      <w:pPr>
        <w:widowControl w:val="0"/>
        <w:spacing w:after="120" w:line="240" w:lineRule="auto"/>
        <w:ind w:left="72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4. Матриця відповідності програмних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компонентам освітньої програми </w:t>
      </w:r>
    </w:p>
    <w:tbl>
      <w:tblPr>
        <w:tblStyle w:val="af6"/>
        <w:tblW w:w="1178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"/>
        <w:gridCol w:w="827"/>
        <w:gridCol w:w="827"/>
        <w:gridCol w:w="827"/>
        <w:gridCol w:w="827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172976" w:rsidTr="00172976">
        <w:trPr>
          <w:cantSplit/>
          <w:trHeight w:val="826"/>
        </w:trPr>
        <w:tc>
          <w:tcPr>
            <w:tcW w:w="1027" w:type="dxa"/>
          </w:tcPr>
          <w:p w:rsidR="00172976" w:rsidRDefault="00172976" w:rsidP="00C01A2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ЗПО1</w:t>
            </w:r>
          </w:p>
        </w:tc>
        <w:tc>
          <w:tcPr>
            <w:tcW w:w="827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ЗПО2</w:t>
            </w:r>
          </w:p>
        </w:tc>
        <w:tc>
          <w:tcPr>
            <w:tcW w:w="827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ЗПО3</w:t>
            </w:r>
          </w:p>
        </w:tc>
        <w:tc>
          <w:tcPr>
            <w:tcW w:w="827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ЗПО4</w:t>
            </w:r>
          </w:p>
        </w:tc>
        <w:tc>
          <w:tcPr>
            <w:tcW w:w="828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ЗПО5</w:t>
            </w:r>
          </w:p>
        </w:tc>
        <w:tc>
          <w:tcPr>
            <w:tcW w:w="828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ППО1</w:t>
            </w:r>
          </w:p>
        </w:tc>
        <w:tc>
          <w:tcPr>
            <w:tcW w:w="828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ППО2</w:t>
            </w:r>
          </w:p>
        </w:tc>
        <w:tc>
          <w:tcPr>
            <w:tcW w:w="828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ППО3</w:t>
            </w:r>
          </w:p>
        </w:tc>
        <w:tc>
          <w:tcPr>
            <w:tcW w:w="828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ППО4</w:t>
            </w:r>
          </w:p>
        </w:tc>
        <w:tc>
          <w:tcPr>
            <w:tcW w:w="828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ППО5</w:t>
            </w:r>
          </w:p>
        </w:tc>
        <w:tc>
          <w:tcPr>
            <w:tcW w:w="828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ППО6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ППО7</w:t>
            </w:r>
          </w:p>
        </w:tc>
        <w:tc>
          <w:tcPr>
            <w:tcW w:w="828" w:type="dxa"/>
          </w:tcPr>
          <w:p w:rsidR="00172976" w:rsidRDefault="00172976" w:rsidP="00C0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ППО8</w:t>
            </w:r>
          </w:p>
        </w:tc>
      </w:tr>
      <w:tr w:rsidR="00172976" w:rsidTr="00172976">
        <w:trPr>
          <w:trHeight w:val="270"/>
        </w:trPr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rPr>
          <w:trHeight w:val="232"/>
        </w:trPr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  <w:rPr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c>
          <w:tcPr>
            <w:tcW w:w="1027" w:type="dxa"/>
            <w:shd w:val="clear" w:color="auto" w:fill="auto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ЗК3</w:t>
            </w:r>
          </w:p>
        </w:tc>
        <w:tc>
          <w:tcPr>
            <w:tcW w:w="827" w:type="dxa"/>
            <w:shd w:val="clear" w:color="auto" w:fill="auto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27" w:type="dxa"/>
            <w:shd w:val="clear" w:color="auto" w:fill="auto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ЗК4</w:t>
            </w:r>
          </w:p>
        </w:tc>
        <w:tc>
          <w:tcPr>
            <w:tcW w:w="827" w:type="dxa"/>
            <w:shd w:val="clear" w:color="auto" w:fill="auto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ЗК6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ЗК7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  <w:rPr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72976" w:rsidTr="00172976">
        <w:tc>
          <w:tcPr>
            <w:tcW w:w="1027" w:type="dxa"/>
            <w:shd w:val="clear" w:color="auto" w:fill="auto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ФК3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  <w:rPr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ФК4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  <w:rPr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ФК5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ФК6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ФК7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ФК8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ФК9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72976" w:rsidTr="00172976">
        <w:tc>
          <w:tcPr>
            <w:tcW w:w="1027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ФК10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7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27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vAlign w:val="center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</w:p>
        </w:tc>
        <w:tc>
          <w:tcPr>
            <w:tcW w:w="828" w:type="dxa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 w:rsidRPr="00AC03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28" w:type="dxa"/>
            <w:shd w:val="clear" w:color="auto" w:fill="auto"/>
          </w:tcPr>
          <w:p w:rsidR="00172976" w:rsidRDefault="00172976" w:rsidP="001729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</w:tbl>
    <w:p w:rsidR="00411485" w:rsidRDefault="00411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1485" w:rsidRDefault="00D91AD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411485" w:rsidRDefault="00D91ADF" w:rsidP="009359A4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 Матриця забезпечення програмних результатів навчання (ПРН)</w:t>
      </w:r>
    </w:p>
    <w:p w:rsidR="00411485" w:rsidRDefault="00D91ADF" w:rsidP="009359A4">
      <w:pPr>
        <w:widowControl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відповідними компонентами  освітньої програми</w:t>
      </w:r>
    </w:p>
    <w:p w:rsidR="00411485" w:rsidRDefault="004114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7"/>
        <w:tblW w:w="1177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818"/>
        <w:gridCol w:w="818"/>
        <w:gridCol w:w="818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172976" w:rsidTr="00172976">
        <w:trPr>
          <w:cantSplit/>
          <w:trHeight w:val="904"/>
        </w:trPr>
        <w:tc>
          <w:tcPr>
            <w:tcW w:w="1134" w:type="dxa"/>
          </w:tcPr>
          <w:p w:rsidR="00172976" w:rsidRDefault="00172976" w:rsidP="0017297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ЗПО1</w:t>
            </w:r>
          </w:p>
        </w:tc>
        <w:tc>
          <w:tcPr>
            <w:tcW w:w="818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ЗПО2</w:t>
            </w:r>
          </w:p>
        </w:tc>
        <w:tc>
          <w:tcPr>
            <w:tcW w:w="818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ЗПО3</w:t>
            </w:r>
          </w:p>
        </w:tc>
        <w:tc>
          <w:tcPr>
            <w:tcW w:w="818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ЗПО4</w:t>
            </w:r>
          </w:p>
        </w:tc>
        <w:tc>
          <w:tcPr>
            <w:tcW w:w="818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ЗПО5</w:t>
            </w:r>
          </w:p>
        </w:tc>
        <w:tc>
          <w:tcPr>
            <w:tcW w:w="819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ППО1</w:t>
            </w:r>
          </w:p>
        </w:tc>
        <w:tc>
          <w:tcPr>
            <w:tcW w:w="819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ППО2</w:t>
            </w:r>
          </w:p>
        </w:tc>
        <w:tc>
          <w:tcPr>
            <w:tcW w:w="819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ППО3</w:t>
            </w:r>
          </w:p>
        </w:tc>
        <w:tc>
          <w:tcPr>
            <w:tcW w:w="819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ППО4</w:t>
            </w:r>
          </w:p>
        </w:tc>
        <w:tc>
          <w:tcPr>
            <w:tcW w:w="819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ППО5</w:t>
            </w:r>
          </w:p>
        </w:tc>
        <w:tc>
          <w:tcPr>
            <w:tcW w:w="819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ППО6</w:t>
            </w:r>
          </w:p>
        </w:tc>
        <w:tc>
          <w:tcPr>
            <w:tcW w:w="819" w:type="dxa"/>
            <w:shd w:val="clear" w:color="auto" w:fill="auto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ППО7</w:t>
            </w:r>
          </w:p>
        </w:tc>
        <w:tc>
          <w:tcPr>
            <w:tcW w:w="819" w:type="dxa"/>
          </w:tcPr>
          <w:p w:rsidR="00172976" w:rsidRDefault="00172976" w:rsidP="001729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ППО8</w:t>
            </w: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ПРН1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2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172976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3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172976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4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172976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5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172976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6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7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8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172976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9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B40B0D">
        <w:tc>
          <w:tcPr>
            <w:tcW w:w="1134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10</w:t>
            </w:r>
          </w:p>
        </w:tc>
        <w:tc>
          <w:tcPr>
            <w:tcW w:w="818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shd w:val="clear" w:color="auto" w:fill="auto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77533" w:rsidTr="00B40B0D">
        <w:tc>
          <w:tcPr>
            <w:tcW w:w="1134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11</w:t>
            </w:r>
          </w:p>
        </w:tc>
        <w:tc>
          <w:tcPr>
            <w:tcW w:w="818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12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13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  <w:rPr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14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15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16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  <w:tr w:rsidR="00977533" w:rsidTr="00B40B0D">
        <w:tc>
          <w:tcPr>
            <w:tcW w:w="1134" w:type="dxa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ПРН 17</w:t>
            </w: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8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vAlign w:val="center"/>
          </w:tcPr>
          <w:p w:rsidR="00977533" w:rsidRDefault="00977533" w:rsidP="0097753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  <w:shd w:val="clear" w:color="auto" w:fill="auto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  <w:tc>
          <w:tcPr>
            <w:tcW w:w="819" w:type="dxa"/>
          </w:tcPr>
          <w:p w:rsidR="00977533" w:rsidRDefault="00977533" w:rsidP="0097753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•</w:t>
            </w:r>
          </w:p>
        </w:tc>
      </w:tr>
    </w:tbl>
    <w:p w:rsidR="00411485" w:rsidRDefault="00411485"/>
    <w:sectPr w:rsidR="00411485">
      <w:pgSz w:w="16838" w:h="11906" w:orient="landscape"/>
      <w:pgMar w:top="720" w:right="720" w:bottom="720" w:left="720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25" w:rsidRDefault="00A64025">
      <w:pPr>
        <w:spacing w:after="0" w:line="240" w:lineRule="auto"/>
      </w:pPr>
      <w:r>
        <w:separator/>
      </w:r>
    </w:p>
  </w:endnote>
  <w:endnote w:type="continuationSeparator" w:id="0">
    <w:p w:rsidR="00A64025" w:rsidRDefault="00A6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AA" w:rsidRDefault="006C10AA">
    <w:pPr>
      <w:jc w:val="right"/>
      <w:rPr>
        <w:rFonts w:ascii="Times New Roman" w:eastAsia="Times New Roman" w:hAnsi="Times New Roman" w:cs="Times New Roman"/>
        <w:b/>
        <w:color w:val="000000"/>
        <w:sz w:val="27"/>
        <w:szCs w:val="27"/>
      </w:rPr>
    </w:pPr>
    <w:r>
      <w:rPr>
        <w:rFonts w:ascii="Times New Roman" w:eastAsia="Times New Roman" w:hAnsi="Times New Roman" w:cs="Times New Roman"/>
        <w:b/>
        <w:color w:val="000000"/>
        <w:sz w:val="27"/>
        <w:szCs w:val="27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7"/>
        <w:szCs w:val="27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7"/>
        <w:szCs w:val="27"/>
      </w:rPr>
      <w:fldChar w:fldCharType="end"/>
    </w:r>
  </w:p>
  <w:p w:rsidR="006C10AA" w:rsidRDefault="006C10A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AA" w:rsidRDefault="006C10AA">
    <w:pPr>
      <w:jc w:val="right"/>
      <w:rPr>
        <w:rFonts w:ascii="Times New Roman" w:eastAsia="Times New Roman" w:hAnsi="Times New Roman" w:cs="Times New Roman"/>
        <w:color w:val="000000"/>
        <w:sz w:val="27"/>
        <w:szCs w:val="27"/>
      </w:rPr>
    </w:pPr>
    <w:r>
      <w:rPr>
        <w:rFonts w:ascii="Times New Roman" w:eastAsia="Times New Roman" w:hAnsi="Times New Roman" w:cs="Times New Roman"/>
        <w:color w:val="000000"/>
        <w:sz w:val="27"/>
        <w:szCs w:val="27"/>
      </w:rPr>
      <w:fldChar w:fldCharType="begin"/>
    </w:r>
    <w:r>
      <w:rPr>
        <w:rFonts w:ascii="Times New Roman" w:eastAsia="Times New Roman" w:hAnsi="Times New Roman" w:cs="Times New Roman"/>
        <w:color w:val="000000"/>
        <w:sz w:val="27"/>
        <w:szCs w:val="27"/>
      </w:rPr>
      <w:instrText>PAGE</w:instrText>
    </w:r>
    <w:r>
      <w:rPr>
        <w:rFonts w:ascii="Times New Roman" w:eastAsia="Times New Roman" w:hAnsi="Times New Roman" w:cs="Times New Roman"/>
        <w:color w:val="000000"/>
        <w:sz w:val="27"/>
        <w:szCs w:val="27"/>
      </w:rPr>
      <w:fldChar w:fldCharType="separate"/>
    </w:r>
    <w:r w:rsidR="00D779B7">
      <w:rPr>
        <w:rFonts w:ascii="Times New Roman" w:eastAsia="Times New Roman" w:hAnsi="Times New Roman" w:cs="Times New Roman"/>
        <w:noProof/>
        <w:color w:val="000000"/>
        <w:sz w:val="27"/>
        <w:szCs w:val="27"/>
      </w:rPr>
      <w:t>2</w:t>
    </w:r>
    <w:r>
      <w:rPr>
        <w:rFonts w:ascii="Times New Roman" w:eastAsia="Times New Roman" w:hAnsi="Times New Roman" w:cs="Times New Roman"/>
        <w:color w:val="000000"/>
        <w:sz w:val="27"/>
        <w:szCs w:val="27"/>
      </w:rPr>
      <w:fldChar w:fldCharType="end"/>
    </w:r>
  </w:p>
  <w:p w:rsidR="006C10AA" w:rsidRDefault="006C10AA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AA" w:rsidRDefault="006C10A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25" w:rsidRDefault="00A64025">
      <w:pPr>
        <w:spacing w:after="0" w:line="240" w:lineRule="auto"/>
      </w:pPr>
      <w:r>
        <w:separator/>
      </w:r>
    </w:p>
  </w:footnote>
  <w:footnote w:type="continuationSeparator" w:id="0">
    <w:p w:rsidR="00A64025" w:rsidRDefault="00A64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7FE"/>
    <w:multiLevelType w:val="multilevel"/>
    <w:tmpl w:val="54F00C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FF02959"/>
    <w:multiLevelType w:val="hybridMultilevel"/>
    <w:tmpl w:val="48D21F8A"/>
    <w:lvl w:ilvl="0" w:tplc="ADBED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161BE"/>
    <w:multiLevelType w:val="multilevel"/>
    <w:tmpl w:val="FF04EAB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D08EE"/>
    <w:multiLevelType w:val="multilevel"/>
    <w:tmpl w:val="AA9232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D34090A"/>
    <w:multiLevelType w:val="multilevel"/>
    <w:tmpl w:val="09EAAF3A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85"/>
    <w:rsid w:val="000A4B7B"/>
    <w:rsid w:val="00127B2F"/>
    <w:rsid w:val="00172976"/>
    <w:rsid w:val="002D1407"/>
    <w:rsid w:val="002E7F88"/>
    <w:rsid w:val="003C2AFC"/>
    <w:rsid w:val="00411485"/>
    <w:rsid w:val="00417908"/>
    <w:rsid w:val="00497118"/>
    <w:rsid w:val="005237AA"/>
    <w:rsid w:val="005A70B9"/>
    <w:rsid w:val="005A781F"/>
    <w:rsid w:val="005C5BA0"/>
    <w:rsid w:val="00664B9F"/>
    <w:rsid w:val="006871A8"/>
    <w:rsid w:val="006C10AA"/>
    <w:rsid w:val="006D5C6E"/>
    <w:rsid w:val="008845DF"/>
    <w:rsid w:val="009359A4"/>
    <w:rsid w:val="00960F64"/>
    <w:rsid w:val="00977533"/>
    <w:rsid w:val="009C0013"/>
    <w:rsid w:val="00A64025"/>
    <w:rsid w:val="00B80208"/>
    <w:rsid w:val="00C01A20"/>
    <w:rsid w:val="00C870F9"/>
    <w:rsid w:val="00CE0C12"/>
    <w:rsid w:val="00D65E60"/>
    <w:rsid w:val="00D779B7"/>
    <w:rsid w:val="00D91ADF"/>
    <w:rsid w:val="00E67CB1"/>
    <w:rsid w:val="00FA473C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F7F2"/>
  <w15:docId w15:val="{67979274-4F8F-43A5-A85C-7D82335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34"/>
  </w:style>
  <w:style w:type="paragraph" w:styleId="1">
    <w:name w:val="heading 1"/>
    <w:basedOn w:val="a"/>
    <w:next w:val="a"/>
    <w:link w:val="10"/>
    <w:uiPriority w:val="9"/>
    <w:qFormat/>
    <w:rsid w:val="004B20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 + Полужирный"/>
    <w:basedOn w:val="a0"/>
    <w:rsid w:val="00860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styleId="a5">
    <w:name w:val="Strong"/>
    <w:basedOn w:val="a0"/>
    <w:uiPriority w:val="22"/>
    <w:qFormat/>
    <w:rsid w:val="00E3531A"/>
    <w:rPr>
      <w:b/>
      <w:bCs/>
    </w:rPr>
  </w:style>
  <w:style w:type="character" w:styleId="a6">
    <w:name w:val="Hyperlink"/>
    <w:basedOn w:val="a0"/>
    <w:uiPriority w:val="99"/>
    <w:unhideWhenUsed/>
    <w:rsid w:val="00624409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776A3D"/>
    <w:pPr>
      <w:spacing w:after="0" w:line="240" w:lineRule="auto"/>
      <w:ind w:left="720" w:firstLine="510"/>
      <w:contextualSpacing/>
    </w:pPr>
    <w:rPr>
      <w:rFonts w:ascii="Times New Roman" w:eastAsia="Times New Roman" w:hAnsi="Times New Roman" w:cs="Times New Roman"/>
      <w:color w:val="000000"/>
      <w:sz w:val="28"/>
      <w:lang w:val="ru-RU"/>
    </w:rPr>
  </w:style>
  <w:style w:type="paragraph" w:customStyle="1" w:styleId="Style79">
    <w:name w:val="Style79"/>
    <w:basedOn w:val="a"/>
    <w:uiPriority w:val="99"/>
    <w:rsid w:val="002B7EDE"/>
    <w:pPr>
      <w:widowControl w:val="0"/>
      <w:autoSpaceDE w:val="0"/>
      <w:autoSpaceDN w:val="0"/>
      <w:adjustRightInd w:val="0"/>
      <w:spacing w:after="0" w:line="187" w:lineRule="exact"/>
      <w:ind w:firstLine="51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56">
    <w:name w:val="Font Style156"/>
    <w:rsid w:val="002B7EDE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rsid w:val="002B7E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65A45"/>
    <w:pPr>
      <w:ind w:left="720"/>
      <w:contextualSpacing/>
    </w:pPr>
  </w:style>
  <w:style w:type="table" w:styleId="a8">
    <w:name w:val="Table Grid"/>
    <w:basedOn w:val="a1"/>
    <w:uiPriority w:val="39"/>
    <w:rsid w:val="005D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23DD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3DD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23DD9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3DD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3DD9"/>
    <w:rPr>
      <w:b/>
      <w:bCs/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72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3DD9"/>
    <w:rPr>
      <w:rFonts w:ascii="Segoe UI" w:hAnsi="Segoe UI" w:cs="Segoe UI"/>
      <w:sz w:val="18"/>
      <w:szCs w:val="18"/>
      <w:lang w:val="uk-UA"/>
    </w:rPr>
  </w:style>
  <w:style w:type="character" w:customStyle="1" w:styleId="journaltitle">
    <w:name w:val="journaltitle"/>
    <w:rsid w:val="000E20D0"/>
  </w:style>
  <w:style w:type="paragraph" w:customStyle="1" w:styleId="m-2571310576452241058gmail-msolistparagraph">
    <w:name w:val="m_-2571310576452241058gmail-msolistparagraph"/>
    <w:basedOn w:val="a"/>
    <w:rsid w:val="00C8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B20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reviewtxt">
    <w:name w:val="previewtxt"/>
    <w:rsid w:val="004B20E5"/>
  </w:style>
  <w:style w:type="paragraph" w:styleId="af0">
    <w:name w:val="Normal (Web)"/>
    <w:basedOn w:val="a"/>
    <w:uiPriority w:val="99"/>
    <w:rsid w:val="0052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990533"/>
  </w:style>
  <w:style w:type="character" w:styleId="af1">
    <w:name w:val="FollowedHyperlink"/>
    <w:basedOn w:val="a0"/>
    <w:uiPriority w:val="99"/>
    <w:semiHidden/>
    <w:unhideWhenUsed/>
    <w:rsid w:val="00E7546C"/>
    <w:rPr>
      <w:color w:val="954F72" w:themeColor="followedHyperlink"/>
      <w:u w:val="single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on.gov.ua/ua/osvita/nacionalna-ramka-kvalifikacij/rivni-nacionalnoyi-ramki-kvalifikacij" TargetMode="External"/><Relationship Id="rId18" Type="http://schemas.openxmlformats.org/officeDocument/2006/relationships/hyperlink" Target="http://www.chnu.edu.ua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nus.org.ua/wpcontent/uploads/2020/12/Nakaz_2736.pdf" TargetMode="External"/><Relationship Id="rId17" Type="http://schemas.openxmlformats.org/officeDocument/2006/relationships/hyperlink" Target="https://algebra.chnu.edu.ua/studentu/osvitni-prohramy-ta-robochi-plan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mi.org.ua/index.php?option=com_content&amp;view=category&amp;layout=blog&amp;id=66&amp;Itemid=188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ua/npa/pro-zatverdzhennya-koncepciyi-rozvitku-pedagogichnoyi-osvit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kon.rada.gov.ua/laws/show/1556-18" TargetMode="External"/><Relationship Id="rId19" Type="http://schemas.openxmlformats.org/officeDocument/2006/relationships/hyperlink" Target="https://moodle.chnu.edu.u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on.rada.gov.ua/rada/show/va327609-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/dvHIwGIZPs3Q8KHka4txSMyjw==">AMUW2mWPTXHfEV22QWeb8g9VFtWUxm01Am1fSO4jnYW8dEmZ904o9BiXvxfFbHI2yWyQkCROyYMTXe09W1UyiAdufGYcpj+UAOr0uDQrJXl7wQq2gpoJAnxfE1MG4FT+7knaZhxOLUfd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15894</Words>
  <Characters>9061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fmi_21_10</cp:lastModifiedBy>
  <cp:revision>13</cp:revision>
  <dcterms:created xsi:type="dcterms:W3CDTF">2022-09-10T19:33:00Z</dcterms:created>
  <dcterms:modified xsi:type="dcterms:W3CDTF">2022-09-11T08:12:00Z</dcterms:modified>
</cp:coreProperties>
</file>