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>Чернівецький національний університет імені Юрія Федьковича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(повне найменування вищого навчального закладу)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>Економічний факультет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    </w:t>
      </w:r>
      <w:r w:rsidRPr="004A47B4">
        <w:rPr>
          <w:rFonts w:ascii="Times New Roman" w:hAnsi="Times New Roman" w:cs="Times New Roman"/>
        </w:rPr>
        <w:t>(назва інституту / факультету)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Кафедра</w:t>
      </w:r>
      <w:r w:rsidRPr="004A47B4">
        <w:rPr>
          <w:rFonts w:ascii="Times New Roman" w:hAnsi="Times New Roman" w:cs="Times New Roman"/>
        </w:rPr>
        <w:t xml:space="preserve"> </w:t>
      </w:r>
      <w:r w:rsidRPr="004A47B4">
        <w:rPr>
          <w:rFonts w:ascii="Times New Roman" w:hAnsi="Times New Roman" w:cs="Times New Roman"/>
          <w:b/>
        </w:rPr>
        <w:t>обліку, аналізу і аудиту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(назва кафедри)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right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 xml:space="preserve">          </w:t>
      </w:r>
    </w:p>
    <w:p w:rsidR="004A47B4" w:rsidRPr="004A47B4" w:rsidRDefault="004A47B4" w:rsidP="004A47B4">
      <w:pPr>
        <w:pStyle w:val="af"/>
        <w:spacing w:after="0"/>
        <w:rPr>
          <w:sz w:val="22"/>
          <w:szCs w:val="22"/>
          <w:lang w:val="uk-UA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СИЛАБУС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навчальної дисципліни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«</w:t>
      </w:r>
      <w:r w:rsidR="0042118E">
        <w:rPr>
          <w:rFonts w:ascii="Times New Roman" w:hAnsi="Times New Roman" w:cs="Times New Roman"/>
          <w:b/>
          <w:bCs/>
        </w:rPr>
        <w:t>ВНУТРІШН</w:t>
      </w:r>
      <w:r w:rsidR="000E4DFD">
        <w:rPr>
          <w:rFonts w:ascii="Times New Roman" w:hAnsi="Times New Roman" w:cs="Times New Roman"/>
          <w:b/>
          <w:bCs/>
        </w:rPr>
        <w:t>І</w:t>
      </w:r>
      <w:r w:rsidR="0042118E">
        <w:rPr>
          <w:rFonts w:ascii="Times New Roman" w:hAnsi="Times New Roman" w:cs="Times New Roman"/>
          <w:b/>
          <w:bCs/>
        </w:rPr>
        <w:t xml:space="preserve">Й </w:t>
      </w:r>
      <w:r w:rsidR="000E4DFD">
        <w:rPr>
          <w:rFonts w:ascii="Times New Roman" w:hAnsi="Times New Roman" w:cs="Times New Roman"/>
          <w:b/>
          <w:bCs/>
        </w:rPr>
        <w:t xml:space="preserve">ПОДАТКОВИЙ </w:t>
      </w:r>
      <w:r w:rsidR="0042118E">
        <w:rPr>
          <w:rFonts w:ascii="Times New Roman" w:hAnsi="Times New Roman" w:cs="Times New Roman"/>
          <w:b/>
          <w:bCs/>
        </w:rPr>
        <w:t>КОНТРОЛЬ</w:t>
      </w:r>
      <w:r w:rsidRPr="004A47B4">
        <w:rPr>
          <w:rFonts w:ascii="Times New Roman" w:hAnsi="Times New Roman" w:cs="Times New Roman"/>
          <w:b/>
          <w:bCs/>
        </w:rPr>
        <w:t>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навчальної дисципліни)</w:t>
      </w:r>
    </w:p>
    <w:p w:rsidR="004A47B4" w:rsidRPr="0042118E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 </w:t>
      </w:r>
      <w:r w:rsidR="00427119">
        <w:rPr>
          <w:rFonts w:ascii="Times New Roman" w:hAnsi="Times New Roman" w:cs="Times New Roman"/>
          <w:bCs/>
          <w:u w:val="single"/>
        </w:rPr>
        <w:t>вибір</w:t>
      </w:r>
      <w:r w:rsidR="0042118E" w:rsidRPr="0042118E">
        <w:rPr>
          <w:rFonts w:ascii="Times New Roman" w:hAnsi="Times New Roman" w:cs="Times New Roman"/>
          <w:bCs/>
          <w:u w:val="single"/>
        </w:rPr>
        <w:t>кова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4A47B4">
        <w:rPr>
          <w:rFonts w:ascii="Times New Roman" w:hAnsi="Times New Roman" w:cs="Times New Roman"/>
          <w:bCs/>
        </w:rPr>
        <w:t>(вказати: обов’язкова / вибіркова 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Освітньо-професійна програма      </w:t>
      </w:r>
      <w:r w:rsidRPr="004A47B4">
        <w:rPr>
          <w:rFonts w:ascii="Times New Roman" w:hAnsi="Times New Roman" w:cs="Times New Roman"/>
          <w:bCs/>
          <w:u w:val="single"/>
        </w:rPr>
        <w:t>«Облік і оподаткування»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програми)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Спеціальність      </w:t>
      </w:r>
      <w:r w:rsidRPr="004A47B4">
        <w:rPr>
          <w:rFonts w:ascii="Times New Roman" w:hAnsi="Times New Roman" w:cs="Times New Roman"/>
          <w:bCs/>
          <w:u w:val="single"/>
        </w:rPr>
        <w:t>071 «Облік і оподаткування»</w:t>
      </w:r>
      <w:r w:rsidRPr="004A47B4">
        <w:rPr>
          <w:rFonts w:ascii="Times New Roman" w:hAnsi="Times New Roman" w:cs="Times New Roman"/>
          <w:b/>
          <w:bCs/>
        </w:rPr>
        <w:t xml:space="preserve">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код,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Галузь знань        </w:t>
      </w:r>
      <w:r w:rsidRPr="004A47B4">
        <w:rPr>
          <w:rFonts w:ascii="Times New Roman" w:hAnsi="Times New Roman" w:cs="Times New Roman"/>
          <w:bCs/>
          <w:u w:val="single"/>
        </w:rPr>
        <w:t>07 «Управління і адміністрування»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шифр,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Рівень вищої освіти       </w:t>
      </w:r>
      <w:r w:rsidR="00B158C3">
        <w:rPr>
          <w:rFonts w:ascii="Times New Roman" w:hAnsi="Times New Roman" w:cs="Times New Roman"/>
          <w:bCs/>
          <w:u w:val="single"/>
        </w:rPr>
        <w:t>перш</w:t>
      </w:r>
      <w:r w:rsidR="00932071">
        <w:rPr>
          <w:rFonts w:ascii="Times New Roman" w:hAnsi="Times New Roman" w:cs="Times New Roman"/>
          <w:bCs/>
          <w:u w:val="single"/>
        </w:rPr>
        <w:t>ий</w:t>
      </w:r>
      <w:r w:rsidRPr="004A47B4">
        <w:rPr>
          <w:rFonts w:ascii="Times New Roman" w:hAnsi="Times New Roman" w:cs="Times New Roman"/>
          <w:bCs/>
          <w:u w:val="single"/>
        </w:rPr>
        <w:t xml:space="preserve"> (</w:t>
      </w:r>
      <w:r w:rsidR="00B158C3">
        <w:rPr>
          <w:rFonts w:ascii="Times New Roman" w:hAnsi="Times New Roman" w:cs="Times New Roman"/>
          <w:bCs/>
          <w:u w:val="single"/>
        </w:rPr>
        <w:t>бакалав</w:t>
      </w:r>
      <w:r w:rsidRPr="004A47B4">
        <w:rPr>
          <w:rFonts w:ascii="Times New Roman" w:hAnsi="Times New Roman" w:cs="Times New Roman"/>
          <w:bCs/>
          <w:u w:val="single"/>
        </w:rPr>
        <w:t>рський)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перший бакалаврський/другий магістерський)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  <w:u w:val="single"/>
        </w:rPr>
        <w:t>Економічний факультет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Мова навчання         </w:t>
      </w:r>
      <w:r w:rsidRPr="004A47B4">
        <w:rPr>
          <w:rFonts w:ascii="Times New Roman" w:hAnsi="Times New Roman" w:cs="Times New Roman"/>
          <w:bCs/>
          <w:u w:val="single"/>
        </w:rPr>
        <w:t>українська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                                   (вказати: на якій мові читається дисципліна)      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</w:p>
    <w:p w:rsidR="004A47B4" w:rsidRPr="00932071" w:rsidRDefault="004A47B4" w:rsidP="00932071">
      <w:pPr>
        <w:jc w:val="both"/>
        <w:rPr>
          <w:rFonts w:ascii="Times New Roman" w:hAnsi="Times New Roman" w:cs="Times New Roman"/>
          <w:bCs/>
          <w:szCs w:val="28"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Розробники: 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 xml:space="preserve">Танасієва Марина Миколаївна, к.е.н., </w:t>
      </w:r>
      <w:r w:rsidR="00932071">
        <w:rPr>
          <w:rFonts w:ascii="Times New Roman" w:hAnsi="Times New Roman" w:cs="Times New Roman"/>
          <w:bCs/>
          <w:szCs w:val="28"/>
          <w:u w:val="single"/>
        </w:rPr>
        <w:t xml:space="preserve">доц.,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>асистент кафедри обліку, аналізу і аудиту</w:t>
      </w:r>
    </w:p>
    <w:p w:rsidR="004A47B4" w:rsidRPr="004A47B4" w:rsidRDefault="00932071" w:rsidP="004A4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A47B4" w:rsidRPr="004A47B4">
        <w:rPr>
          <w:rFonts w:ascii="Times New Roman" w:hAnsi="Times New Roman" w:cs="Times New Roman"/>
        </w:rPr>
        <w:t>(П.І.Б. авторів, посада, науковий ступінь, вчене звання)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Профайл викладача      </w:t>
      </w:r>
      <w:hyperlink r:id="rId8" w:history="1">
        <w:r w:rsidRPr="004A47B4">
          <w:rPr>
            <w:rStyle w:val="a5"/>
            <w:rFonts w:ascii="Times New Roman" w:hAnsi="Times New Roman" w:cs="Times New Roman"/>
          </w:rPr>
          <w:t>http://econom.chnu.edu.ua/kafedry-ekonomichnogo-fakultetu/kafedra-obliku-analizu-i-audytu/kolektyv-kafedry/tanasiyeva-maryna-mykolayivna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Контактний телефон</w:t>
      </w:r>
      <w:r w:rsidRPr="004A47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+38 </w:t>
      </w:r>
      <w:r w:rsidR="009320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050</w:t>
      </w:r>
      <w:r w:rsidR="009320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9669932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A47B4">
        <w:rPr>
          <w:rFonts w:ascii="Times New Roman" w:hAnsi="Times New Roman" w:cs="Times New Roman"/>
          <w:b/>
          <w:lang w:val="en-US"/>
        </w:rPr>
        <w:t>E</w:t>
      </w:r>
      <w:r w:rsidRPr="004A47B4">
        <w:rPr>
          <w:rFonts w:ascii="Times New Roman" w:hAnsi="Times New Roman" w:cs="Times New Roman"/>
          <w:b/>
          <w:lang w:val="ru-RU"/>
        </w:rPr>
        <w:t>-</w:t>
      </w:r>
      <w:r w:rsidRPr="004A47B4">
        <w:rPr>
          <w:rFonts w:ascii="Times New Roman" w:hAnsi="Times New Roman" w:cs="Times New Roman"/>
          <w:b/>
          <w:lang w:val="en-US"/>
        </w:rPr>
        <w:t>mail</w:t>
      </w:r>
      <w:r w:rsidRPr="004A47B4">
        <w:rPr>
          <w:rFonts w:ascii="Times New Roman" w:hAnsi="Times New Roman" w:cs="Times New Roman"/>
          <w:b/>
          <w:lang w:val="ru-RU"/>
        </w:rPr>
        <w:t>:</w:t>
      </w:r>
      <w:r w:rsidRPr="004A47B4">
        <w:rPr>
          <w:rFonts w:ascii="Times New Roman" w:hAnsi="Times New Roman" w:cs="Times New Roman"/>
          <w:lang w:val="ru-RU"/>
        </w:rPr>
        <w:t xml:space="preserve"> </w:t>
      </w:r>
      <w:r w:rsidRPr="004A47B4">
        <w:rPr>
          <w:rFonts w:ascii="Times New Roman" w:hAnsi="Times New Roman" w:cs="Times New Roman"/>
        </w:rPr>
        <w:t xml:space="preserve">                                   </w:t>
      </w:r>
      <w:hyperlink r:id="rId9" w:history="1">
        <w:r w:rsidRPr="004A47B4">
          <w:rPr>
            <w:rStyle w:val="a5"/>
            <w:rFonts w:ascii="Times New Roman" w:hAnsi="Times New Roman" w:cs="Times New Roman"/>
            <w:lang w:val="en-US"/>
          </w:rPr>
          <w:t>m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tanasiyeva</w:t>
        </w:r>
        <w:r w:rsidRPr="004A47B4">
          <w:rPr>
            <w:rStyle w:val="a5"/>
            <w:rFonts w:ascii="Times New Roman" w:hAnsi="Times New Roman" w:cs="Times New Roman"/>
            <w:lang w:val="ru-RU"/>
          </w:rPr>
          <w:t>@</w:t>
        </w:r>
        <w:r w:rsidRPr="004A47B4">
          <w:rPr>
            <w:rStyle w:val="a5"/>
            <w:rFonts w:ascii="Times New Roman" w:hAnsi="Times New Roman" w:cs="Times New Roman"/>
            <w:lang w:val="en-US"/>
          </w:rPr>
          <w:t>chnu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edu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F44098" w:rsidRPr="004A47B4" w:rsidRDefault="004A47B4" w:rsidP="00F44098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Сторінка курсу в </w:t>
      </w:r>
      <w:r w:rsidRPr="004A47B4">
        <w:rPr>
          <w:rFonts w:ascii="Times New Roman" w:hAnsi="Times New Roman" w:cs="Times New Roman"/>
          <w:b/>
          <w:lang w:val="en-US"/>
        </w:rPr>
        <w:t>Moodle</w:t>
      </w:r>
      <w:r w:rsidRPr="004A47B4">
        <w:rPr>
          <w:rFonts w:ascii="Times New Roman" w:hAnsi="Times New Roman" w:cs="Times New Roman"/>
          <w:b/>
        </w:rPr>
        <w:t xml:space="preserve">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Консультації </w:t>
      </w:r>
      <w:r w:rsidRPr="004A47B4">
        <w:rPr>
          <w:rFonts w:ascii="Times New Roman" w:hAnsi="Times New Roman" w:cs="Times New Roman"/>
        </w:rPr>
        <w:t xml:space="preserve">                         згідно з графіком</w:t>
      </w:r>
    </w:p>
    <w:p w:rsidR="00360FEE" w:rsidRPr="008D0DAF" w:rsidRDefault="00360FEE" w:rsidP="00360F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60C" w:rsidRPr="004C042F" w:rsidRDefault="00E6060C" w:rsidP="00E6060C">
      <w:pPr>
        <w:widowControl w:val="0"/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A47B4" w:rsidRDefault="004A47B4" w:rsidP="00932071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360FEE" w:rsidRDefault="00360FEE" w:rsidP="00360F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3292">
        <w:rPr>
          <w:b/>
          <w:sz w:val="28"/>
        </w:rPr>
        <w:t>1. Анотація дисципліни</w:t>
      </w:r>
      <w:r>
        <w:rPr>
          <w:b/>
          <w:sz w:val="28"/>
        </w:rPr>
        <w:t xml:space="preserve"> </w:t>
      </w:r>
      <w:r w:rsidRPr="00177BFE">
        <w:rPr>
          <w:b/>
          <w:sz w:val="28"/>
        </w:rPr>
        <w:t>(призначення навчальної дисципліни)</w:t>
      </w:r>
    </w:p>
    <w:p w:rsidR="00C95C47" w:rsidRDefault="00C95C47" w:rsidP="00360FEE">
      <w:pPr>
        <w:pStyle w:val="a6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7304F" w:rsidRDefault="00467E45" w:rsidP="00F93A7E">
      <w:pPr>
        <w:pStyle w:val="Default"/>
        <w:ind w:firstLine="709"/>
        <w:jc w:val="both"/>
        <w:rPr>
          <w:lang w:val="uk-UA"/>
        </w:rPr>
      </w:pPr>
      <w:r w:rsidRPr="00427119">
        <w:rPr>
          <w:lang w:val="uk-UA"/>
        </w:rPr>
        <w:t>Питання контролю правильності та своєчасності нарахування та сплати податкових зобов’язань виникає на підприємстві з дня його створення. Так, при виборі системи оподаткування, у процесі створення підприємства чи його податкової оптимізації, власниками здійснюються ретельні розрахунки різних систем оподаткування, що дозволить мінімізувати податкове навантаження</w:t>
      </w:r>
      <w:r w:rsidR="00983E5A" w:rsidRPr="00427119">
        <w:rPr>
          <w:lang w:val="uk-UA"/>
        </w:rPr>
        <w:t xml:space="preserve">. </w:t>
      </w:r>
      <w:r w:rsidR="00983E5A" w:rsidRPr="00983E5A">
        <w:rPr>
          <w:lang w:val="uk-UA"/>
        </w:rPr>
        <w:t xml:space="preserve">Головне призначення </w:t>
      </w:r>
      <w:r w:rsidR="00427119">
        <w:rPr>
          <w:lang w:val="uk-UA"/>
        </w:rPr>
        <w:t>внутрішнього податкового контролю (</w:t>
      </w:r>
      <w:r>
        <w:rPr>
          <w:lang w:val="uk-UA"/>
        </w:rPr>
        <w:t>ВПК</w:t>
      </w:r>
      <w:r w:rsidR="00427119">
        <w:rPr>
          <w:lang w:val="uk-UA"/>
        </w:rPr>
        <w:t>)</w:t>
      </w:r>
      <w:r w:rsidR="00983E5A" w:rsidRPr="00983E5A">
        <w:rPr>
          <w:lang w:val="uk-UA"/>
        </w:rPr>
        <w:t xml:space="preserve"> полягає в забезпеченні своєчасною релевантною інформацією керівництва підприємства про </w:t>
      </w:r>
      <w:r w:rsidR="00427119">
        <w:rPr>
          <w:lang w:val="uk-UA"/>
        </w:rPr>
        <w:t>формування,</w:t>
      </w:r>
      <w:r w:rsidRPr="00467E45">
        <w:rPr>
          <w:lang w:val="uk-UA"/>
        </w:rPr>
        <w:t xml:space="preserve"> збереження та ефективне використання підприємством фінансових ресурсів, а також перевірка дотримання нормативно-правових актів, що регулюють фі</w:t>
      </w:r>
      <w:r w:rsidR="00427119">
        <w:rPr>
          <w:lang w:val="uk-UA"/>
        </w:rPr>
        <w:t>нансову діяльність підприємства</w:t>
      </w:r>
      <w:r w:rsidRPr="00467E45">
        <w:rPr>
          <w:lang w:val="uk-UA"/>
        </w:rPr>
        <w:t xml:space="preserve"> у процесі здійснення господарських операцій</w:t>
      </w:r>
      <w:r w:rsidR="00427119">
        <w:rPr>
          <w:lang w:val="uk-UA"/>
        </w:rPr>
        <w:t>. Тому</w:t>
      </w:r>
      <w:r w:rsidR="00983E5A" w:rsidRPr="00983E5A">
        <w:rPr>
          <w:lang w:val="uk-UA"/>
        </w:rPr>
        <w:t xml:space="preserve"> належно організований внутрішн</w:t>
      </w:r>
      <w:r>
        <w:rPr>
          <w:lang w:val="uk-UA"/>
        </w:rPr>
        <w:t>і</w:t>
      </w:r>
      <w:r w:rsidR="00983E5A" w:rsidRPr="00983E5A">
        <w:rPr>
          <w:lang w:val="uk-UA"/>
        </w:rPr>
        <w:t>й</w:t>
      </w:r>
      <w:r>
        <w:rPr>
          <w:lang w:val="uk-UA"/>
        </w:rPr>
        <w:t xml:space="preserve"> податковий</w:t>
      </w:r>
      <w:r w:rsidR="00983E5A" w:rsidRPr="00983E5A">
        <w:rPr>
          <w:lang w:val="uk-UA"/>
        </w:rPr>
        <w:t xml:space="preserve"> контроль, який водночас потребує ґрунтовних знань</w:t>
      </w:r>
      <w:r w:rsidR="00427119">
        <w:rPr>
          <w:lang w:val="uk-UA"/>
        </w:rPr>
        <w:t xml:space="preserve"> у сфері бухгалтерського обліку</w:t>
      </w:r>
      <w:r w:rsidR="00983E5A" w:rsidRPr="00983E5A">
        <w:rPr>
          <w:lang w:val="uk-UA"/>
        </w:rPr>
        <w:t xml:space="preserve"> як основного інформаційного джерела підтримки управлінських рішень, дасть змогу налагодити взаємозв’язок функцій управління різних рівнів підприємства. </w:t>
      </w:r>
    </w:p>
    <w:p w:rsidR="00B7304F" w:rsidRPr="00983E5A" w:rsidRDefault="00B7304F" w:rsidP="00F93A7E">
      <w:pPr>
        <w:pStyle w:val="21"/>
        <w:ind w:left="0" w:firstLine="709"/>
        <w:jc w:val="both"/>
      </w:pPr>
      <w:r w:rsidRPr="00175C1F">
        <w:t>Призначення навчальної дисципліни «</w:t>
      </w:r>
      <w:r w:rsidR="00467E45">
        <w:t>Внутрішні</w:t>
      </w:r>
      <w:r>
        <w:t xml:space="preserve">й </w:t>
      </w:r>
      <w:r w:rsidR="00467E45">
        <w:t xml:space="preserve">податковий </w:t>
      </w:r>
      <w:r>
        <w:t>контроль</w:t>
      </w:r>
      <w:r w:rsidRPr="00175C1F">
        <w:t xml:space="preserve">» полягає у </w:t>
      </w:r>
      <w:r w:rsidR="00427119">
        <w:t>поглибле</w:t>
      </w:r>
      <w:r w:rsidRPr="00175C1F">
        <w:t xml:space="preserve">нні основних </w:t>
      </w:r>
      <w:r w:rsidR="00F93A7E">
        <w:t>засад</w:t>
      </w:r>
      <w:r w:rsidRPr="00175C1F">
        <w:t xml:space="preserve"> функціонування </w:t>
      </w:r>
      <w:r w:rsidR="00F93A7E">
        <w:t xml:space="preserve">системи внутрішнього контролю та ефективного управління </w:t>
      </w:r>
      <w:r w:rsidR="008F32E8">
        <w:t>ресурсами підприємства</w:t>
      </w:r>
      <w:r w:rsidRPr="00175C1F">
        <w:t xml:space="preserve">. Дисципліна належить до циклу професійної підготовки </w:t>
      </w:r>
      <w:r w:rsidR="00427119">
        <w:t>вибір</w:t>
      </w:r>
      <w:r w:rsidRPr="00175C1F">
        <w:t>кових компонент освітньої програми «Облік і оподаткування» першого бакалаврського рівня галузі знань 07 «Управління та адміністрування».</w:t>
      </w:r>
    </w:p>
    <w:p w:rsidR="00983E5A" w:rsidRPr="00983E5A" w:rsidRDefault="00983E5A" w:rsidP="00F93A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2.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 Мета навчальної дисципліни (</w:t>
      </w:r>
      <w:r w:rsidR="008F32E8">
        <w:rPr>
          <w:rFonts w:ascii="Times New Roman" w:hAnsi="Times New Roman" w:cs="Times New Roman"/>
          <w:b/>
          <w:sz w:val="24"/>
          <w:szCs w:val="24"/>
        </w:rPr>
        <w:t>Внутрішні</w:t>
      </w:r>
      <w:r w:rsidR="00004741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8F32E8">
        <w:rPr>
          <w:rFonts w:ascii="Times New Roman" w:hAnsi="Times New Roman" w:cs="Times New Roman"/>
          <w:b/>
          <w:sz w:val="24"/>
          <w:szCs w:val="24"/>
        </w:rPr>
        <w:t xml:space="preserve">податковий </w:t>
      </w:r>
      <w:r w:rsidR="00004741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427119">
        <w:rPr>
          <w:rFonts w:ascii="Times New Roman" w:hAnsi="Times New Roman" w:cs="Times New Roman"/>
          <w:sz w:val="24"/>
          <w:szCs w:val="24"/>
        </w:rPr>
        <w:t>поглибле</w:t>
      </w:r>
      <w:r w:rsidRPr="00983E5A">
        <w:rPr>
          <w:rFonts w:ascii="Times New Roman" w:hAnsi="Times New Roman" w:cs="Times New Roman"/>
          <w:sz w:val="24"/>
          <w:szCs w:val="24"/>
        </w:rPr>
        <w:t>ння базови</w:t>
      </w:r>
      <w:r w:rsidR="00427119">
        <w:rPr>
          <w:rFonts w:ascii="Times New Roman" w:hAnsi="Times New Roman" w:cs="Times New Roman"/>
          <w:sz w:val="24"/>
          <w:szCs w:val="24"/>
        </w:rPr>
        <w:t>х</w:t>
      </w:r>
      <w:r w:rsidRPr="00983E5A">
        <w:rPr>
          <w:rFonts w:ascii="Times New Roman" w:hAnsi="Times New Roman" w:cs="Times New Roman"/>
          <w:sz w:val="24"/>
          <w:szCs w:val="24"/>
        </w:rPr>
        <w:t xml:space="preserve"> теоретични</w:t>
      </w:r>
      <w:r w:rsidR="00427119">
        <w:rPr>
          <w:rFonts w:ascii="Times New Roman" w:hAnsi="Times New Roman" w:cs="Times New Roman"/>
          <w:sz w:val="24"/>
          <w:szCs w:val="24"/>
        </w:rPr>
        <w:t>х</w:t>
      </w:r>
      <w:r w:rsidRPr="00983E5A">
        <w:rPr>
          <w:rFonts w:ascii="Times New Roman" w:hAnsi="Times New Roman" w:cs="Times New Roman"/>
          <w:sz w:val="24"/>
          <w:szCs w:val="24"/>
        </w:rPr>
        <w:t xml:space="preserve"> знан</w:t>
      </w:r>
      <w:r w:rsidR="00427119">
        <w:rPr>
          <w:rFonts w:ascii="Times New Roman" w:hAnsi="Times New Roman" w:cs="Times New Roman"/>
          <w:sz w:val="24"/>
          <w:szCs w:val="24"/>
        </w:rPr>
        <w:t>ь</w:t>
      </w:r>
      <w:r w:rsidRPr="00983E5A">
        <w:rPr>
          <w:rFonts w:ascii="Times New Roman" w:hAnsi="Times New Roman" w:cs="Times New Roman"/>
          <w:sz w:val="24"/>
          <w:szCs w:val="24"/>
        </w:rPr>
        <w:t xml:space="preserve"> та набуття практичних навиків щодо організації та </w:t>
      </w:r>
      <w:r w:rsidR="008F32E8">
        <w:rPr>
          <w:rFonts w:ascii="Times New Roman" w:hAnsi="Times New Roman" w:cs="Times New Roman"/>
          <w:sz w:val="24"/>
          <w:szCs w:val="24"/>
        </w:rPr>
        <w:t>здійснення внутрішнь</w:t>
      </w:r>
      <w:r w:rsidRPr="00983E5A">
        <w:rPr>
          <w:rFonts w:ascii="Times New Roman" w:hAnsi="Times New Roman" w:cs="Times New Roman"/>
          <w:sz w:val="24"/>
          <w:szCs w:val="24"/>
        </w:rPr>
        <w:t xml:space="preserve">ого </w:t>
      </w:r>
      <w:r w:rsidR="008F32E8">
        <w:rPr>
          <w:rFonts w:ascii="Times New Roman" w:hAnsi="Times New Roman" w:cs="Times New Roman"/>
          <w:sz w:val="24"/>
          <w:szCs w:val="24"/>
        </w:rPr>
        <w:t xml:space="preserve">податкового </w:t>
      </w:r>
      <w:r w:rsidRPr="00983E5A">
        <w:rPr>
          <w:rFonts w:ascii="Times New Roman" w:hAnsi="Times New Roman" w:cs="Times New Roman"/>
          <w:sz w:val="24"/>
          <w:szCs w:val="24"/>
        </w:rPr>
        <w:t>контролю</w:t>
      </w:r>
      <w:r w:rsidR="00B7304F">
        <w:rPr>
          <w:rFonts w:ascii="Times New Roman" w:hAnsi="Times New Roman" w:cs="Times New Roman"/>
          <w:sz w:val="24"/>
          <w:szCs w:val="24"/>
        </w:rPr>
        <w:t xml:space="preserve">, процесу управління </w:t>
      </w:r>
      <w:r w:rsidR="008F32E8">
        <w:rPr>
          <w:rFonts w:ascii="Times New Roman" w:hAnsi="Times New Roman" w:cs="Times New Roman"/>
          <w:sz w:val="24"/>
          <w:szCs w:val="24"/>
        </w:rPr>
        <w:t>доходами</w:t>
      </w:r>
      <w:r w:rsidR="00B7304F">
        <w:rPr>
          <w:rFonts w:ascii="Times New Roman" w:hAnsi="Times New Roman" w:cs="Times New Roman"/>
          <w:sz w:val="24"/>
          <w:szCs w:val="24"/>
        </w:rPr>
        <w:t xml:space="preserve"> та їх вплив на ефективність господарської діяльності</w:t>
      </w:r>
      <w:r w:rsidRPr="00983E5A">
        <w:rPr>
          <w:rFonts w:ascii="Times New Roman" w:hAnsi="Times New Roman" w:cs="Times New Roman"/>
          <w:sz w:val="24"/>
          <w:szCs w:val="24"/>
        </w:rPr>
        <w:t xml:space="preserve"> на підприємствах різних форм власності та господарювання.</w:t>
      </w:r>
    </w:p>
    <w:p w:rsidR="0042118E" w:rsidRPr="00A67B4A" w:rsidRDefault="00A67B4A" w:rsidP="008F32E8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A67B4A">
        <w:rPr>
          <w:b/>
          <w:sz w:val="24"/>
          <w:lang w:val="uk-UA"/>
        </w:rPr>
        <w:t>3. Пререквізити.</w:t>
      </w:r>
      <w:r w:rsidRPr="00A67B4A">
        <w:rPr>
          <w:sz w:val="24"/>
          <w:lang w:val="uk-UA"/>
        </w:rPr>
        <w:t xml:space="preserve"> Вивчення навчальної дисципліни «</w:t>
      </w:r>
      <w:r w:rsidR="008F32E8" w:rsidRPr="008F32E8">
        <w:rPr>
          <w:sz w:val="24"/>
          <w:lang w:val="uk-UA"/>
        </w:rPr>
        <w:t>Внутрішній податковий контроль</w:t>
      </w:r>
      <w:r w:rsidRPr="00A67B4A">
        <w:rPr>
          <w:sz w:val="24"/>
          <w:lang w:val="uk-UA"/>
        </w:rPr>
        <w:t xml:space="preserve">» базується на засвоєнні знань з таких навчальних дисциплін </w:t>
      </w:r>
      <w:r w:rsidR="008F32E8">
        <w:rPr>
          <w:sz w:val="24"/>
          <w:lang w:val="uk-UA"/>
        </w:rPr>
        <w:t>«Податкова система»</w:t>
      </w:r>
      <w:r w:rsidR="00373F13">
        <w:rPr>
          <w:sz w:val="24"/>
          <w:lang w:val="uk-UA"/>
        </w:rPr>
        <w:t xml:space="preserve">, </w:t>
      </w:r>
      <w:r w:rsidR="0042118E" w:rsidRPr="00175C1F">
        <w:rPr>
          <w:sz w:val="24"/>
          <w:lang w:val="uk-UA"/>
        </w:rPr>
        <w:t>«Фінансовий облік», «Фінансова звітність»</w:t>
      </w:r>
      <w:r w:rsidR="0042118E">
        <w:rPr>
          <w:sz w:val="24"/>
          <w:lang w:val="uk-UA"/>
        </w:rPr>
        <w:t>,</w:t>
      </w:r>
      <w:r w:rsidR="0042118E" w:rsidRPr="00A67B4A">
        <w:rPr>
          <w:sz w:val="24"/>
          <w:lang w:val="uk-UA"/>
        </w:rPr>
        <w:t xml:space="preserve"> </w:t>
      </w:r>
      <w:r w:rsidRPr="00A67B4A">
        <w:rPr>
          <w:sz w:val="24"/>
          <w:lang w:val="uk-UA"/>
        </w:rPr>
        <w:t>«</w:t>
      </w:r>
      <w:r w:rsidR="008F32E8">
        <w:rPr>
          <w:sz w:val="24"/>
          <w:lang w:val="uk-UA"/>
        </w:rPr>
        <w:t>Облік і звітність в оподаткуванні</w:t>
      </w:r>
      <w:r w:rsidRPr="00A67B4A">
        <w:rPr>
          <w:sz w:val="24"/>
          <w:lang w:val="uk-UA"/>
        </w:rPr>
        <w:t>»,</w:t>
      </w:r>
      <w:r w:rsidR="002043C5">
        <w:rPr>
          <w:sz w:val="24"/>
          <w:lang w:val="uk-UA"/>
        </w:rPr>
        <w:t xml:space="preserve"> «</w:t>
      </w:r>
      <w:r w:rsidR="00B158C3">
        <w:rPr>
          <w:sz w:val="24"/>
          <w:lang w:val="uk-UA"/>
        </w:rPr>
        <w:t>Управлінський облік</w:t>
      </w:r>
      <w:r w:rsidR="008F32E8">
        <w:rPr>
          <w:sz w:val="24"/>
          <w:lang w:val="uk-UA"/>
        </w:rPr>
        <w:t>»</w:t>
      </w:r>
      <w:r w:rsidR="00427119">
        <w:rPr>
          <w:sz w:val="24"/>
          <w:lang w:val="uk-UA"/>
        </w:rPr>
        <w:t>, «Аудит»</w:t>
      </w:r>
      <w:r w:rsidR="0042118E" w:rsidRPr="00175C1F">
        <w:rPr>
          <w:sz w:val="24"/>
          <w:lang w:val="uk-UA"/>
        </w:rPr>
        <w:t>.</w:t>
      </w:r>
    </w:p>
    <w:p w:rsidR="00A67B4A" w:rsidRPr="009869D8" w:rsidRDefault="00A67B4A" w:rsidP="00A67B4A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9869D8">
        <w:rPr>
          <w:b/>
          <w:sz w:val="24"/>
          <w:lang w:val="uk-UA"/>
        </w:rPr>
        <w:t>4. Результати навчання:</w:t>
      </w:r>
      <w:r w:rsidRPr="009869D8">
        <w:rPr>
          <w:sz w:val="24"/>
          <w:lang w:val="uk-UA"/>
        </w:rPr>
        <w:t xml:space="preserve"> 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869D8">
        <w:rPr>
          <w:rFonts w:ascii="Times New Roman" w:hAnsi="Times New Roman" w:cs="Times New Roman"/>
          <w:sz w:val="24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</w:t>
      </w:r>
      <w:r w:rsidR="00373F13">
        <w:rPr>
          <w:rFonts w:ascii="Times New Roman" w:hAnsi="Times New Roman" w:cs="Times New Roman"/>
          <w:sz w:val="24"/>
        </w:rPr>
        <w:t xml:space="preserve">ткування») вивчення дисципліни </w:t>
      </w:r>
      <w:r w:rsidR="00373F13" w:rsidRPr="00373F13">
        <w:rPr>
          <w:rFonts w:ascii="Times New Roman" w:hAnsi="Times New Roman" w:cs="Times New Roman"/>
          <w:sz w:val="24"/>
        </w:rPr>
        <w:t>«</w:t>
      </w:r>
      <w:r w:rsidR="008F32E8" w:rsidRPr="008F32E8">
        <w:rPr>
          <w:rFonts w:ascii="Times New Roman" w:hAnsi="Times New Roman" w:cs="Times New Roman"/>
          <w:sz w:val="24"/>
          <w:szCs w:val="24"/>
        </w:rPr>
        <w:t>Внутрішній податковий контроль</w:t>
      </w:r>
      <w:r w:rsidRPr="00373F13">
        <w:rPr>
          <w:rFonts w:ascii="Times New Roman" w:hAnsi="Times New Roman" w:cs="Times New Roman"/>
          <w:sz w:val="24"/>
        </w:rPr>
        <w:t>»</w:t>
      </w:r>
      <w:r w:rsidRPr="009869D8">
        <w:rPr>
          <w:rFonts w:ascii="Times New Roman" w:hAnsi="Times New Roman" w:cs="Times New Roman"/>
          <w:sz w:val="24"/>
        </w:rPr>
        <w:t xml:space="preserve"> сприяє формуванню таких компетентностей і програмних результатів навчання: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A67B4A">
        <w:rPr>
          <w:rFonts w:ascii="Times New Roman" w:hAnsi="Times New Roman" w:cs="Times New Roman"/>
          <w:b/>
          <w:bCs/>
          <w:i/>
          <w:sz w:val="24"/>
        </w:rPr>
        <w:t>Загальні компетентності: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</w:t>
      </w:r>
      <w:r w:rsidR="0027260E">
        <w:rPr>
          <w:rFonts w:ascii="Times New Roman" w:hAnsi="Times New Roman" w:cs="Times New Roman"/>
          <w:sz w:val="24"/>
        </w:rPr>
        <w:t>0</w:t>
      </w:r>
      <w:r w:rsidR="009869D8" w:rsidRPr="009869D8">
        <w:rPr>
          <w:rFonts w:ascii="Times New Roman" w:hAnsi="Times New Roman" w:cs="Times New Roman"/>
          <w:sz w:val="24"/>
        </w:rPr>
        <w:t>1. Здатність вчитися і оволодівати сучасними знаннями.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</w:t>
      </w:r>
      <w:r w:rsidR="0027260E">
        <w:rPr>
          <w:rFonts w:ascii="Times New Roman" w:hAnsi="Times New Roman" w:cs="Times New Roman"/>
          <w:sz w:val="24"/>
        </w:rPr>
        <w:t>0</w:t>
      </w:r>
      <w:r w:rsidR="009869D8" w:rsidRPr="009869D8">
        <w:rPr>
          <w:rFonts w:ascii="Times New Roman" w:hAnsi="Times New Roman" w:cs="Times New Roman"/>
          <w:sz w:val="24"/>
        </w:rPr>
        <w:t>2. Здатність до абстрактного мислення, аналізу та синтезу.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</w:t>
      </w:r>
      <w:r w:rsidR="0027260E">
        <w:rPr>
          <w:rFonts w:ascii="Times New Roman" w:hAnsi="Times New Roman" w:cs="Times New Roman"/>
          <w:sz w:val="24"/>
        </w:rPr>
        <w:t>0</w:t>
      </w:r>
      <w:r w:rsidR="009869D8" w:rsidRPr="009869D8">
        <w:rPr>
          <w:rFonts w:ascii="Times New Roman" w:hAnsi="Times New Roman" w:cs="Times New Roman"/>
          <w:sz w:val="24"/>
        </w:rPr>
        <w:t>3. Здатність працювати в команді.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</w:t>
      </w:r>
      <w:r w:rsidR="0027260E">
        <w:rPr>
          <w:rFonts w:ascii="Times New Roman" w:hAnsi="Times New Roman" w:cs="Times New Roman"/>
          <w:sz w:val="24"/>
        </w:rPr>
        <w:t>0</w:t>
      </w:r>
      <w:r w:rsidR="009869D8" w:rsidRPr="009869D8">
        <w:rPr>
          <w:rFonts w:ascii="Times New Roman" w:hAnsi="Times New Roman" w:cs="Times New Roman"/>
          <w:sz w:val="24"/>
        </w:rPr>
        <w:t>4. Здатність працювати автономно.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</w:t>
      </w:r>
      <w:r w:rsidR="0027260E">
        <w:rPr>
          <w:rFonts w:ascii="Times New Roman" w:hAnsi="Times New Roman" w:cs="Times New Roman"/>
          <w:sz w:val="24"/>
        </w:rPr>
        <w:t>0</w:t>
      </w:r>
      <w:r w:rsidR="009869D8" w:rsidRPr="009869D8">
        <w:rPr>
          <w:rFonts w:ascii="Times New Roman" w:hAnsi="Times New Roman" w:cs="Times New Roman"/>
          <w:sz w:val="24"/>
        </w:rPr>
        <w:t>7. Здатність бути критичним та самокритичним.</w:t>
      </w:r>
    </w:p>
    <w:p w:rsidR="009869D8" w:rsidRPr="009869D8" w:rsidRDefault="00427119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ЗК</w:t>
      </w:r>
      <w:r w:rsidR="0027260E">
        <w:rPr>
          <w:rFonts w:ascii="Times New Roman" w:hAnsi="Times New Roman" w:cs="Times New Roman"/>
          <w:color w:val="000000"/>
          <w:sz w:val="24"/>
        </w:rPr>
        <w:t>0</w:t>
      </w:r>
      <w:r w:rsidR="009869D8" w:rsidRPr="009869D8">
        <w:rPr>
          <w:rFonts w:ascii="Times New Roman" w:hAnsi="Times New Roman" w:cs="Times New Roman"/>
          <w:color w:val="000000"/>
          <w:sz w:val="24"/>
        </w:rPr>
        <w:t>8. Знання та розуміння предметної області та розуміння професійної діяльності.</w:t>
      </w:r>
    </w:p>
    <w:p w:rsidR="009869D8" w:rsidRPr="00427119" w:rsidRDefault="00427119" w:rsidP="009869D8">
      <w:pPr>
        <w:pStyle w:val="Default"/>
        <w:ind w:firstLine="720"/>
        <w:jc w:val="both"/>
        <w:rPr>
          <w:lang w:val="uk-UA"/>
        </w:rPr>
      </w:pPr>
      <w:r>
        <w:t>ЗК</w:t>
      </w:r>
      <w:r w:rsidR="009869D8" w:rsidRPr="009869D8">
        <w:t xml:space="preserve">12. </w:t>
      </w:r>
      <w:r w:rsidR="009869D8" w:rsidRPr="00427119">
        <w:rPr>
          <w:lang w:val="uk-UA"/>
        </w:rPr>
        <w:t xml:space="preserve">Здатність діяти соціально відповідально та свідомо. </w:t>
      </w:r>
    </w:p>
    <w:p w:rsidR="009869D8" w:rsidRPr="00427119" w:rsidRDefault="00427119" w:rsidP="009869D8">
      <w:pPr>
        <w:pStyle w:val="Default"/>
        <w:ind w:firstLine="720"/>
        <w:jc w:val="both"/>
        <w:rPr>
          <w:lang w:val="uk-UA"/>
        </w:rPr>
      </w:pPr>
      <w:r w:rsidRPr="00427119">
        <w:rPr>
          <w:lang w:val="uk-UA"/>
        </w:rPr>
        <w:t>ЗК</w:t>
      </w:r>
      <w:r w:rsidR="009869D8" w:rsidRPr="00427119">
        <w:rPr>
          <w:lang w:val="uk-UA"/>
        </w:rPr>
        <w:t xml:space="preserve">13. Здатність проведення досліджень на відповідному рівні. </w:t>
      </w:r>
    </w:p>
    <w:p w:rsidR="00A67B4A" w:rsidRPr="00A67B4A" w:rsidRDefault="0027260E" w:rsidP="009869D8">
      <w:pPr>
        <w:pStyle w:val="a9"/>
        <w:widowControl w:val="0"/>
        <w:spacing w:after="0"/>
        <w:ind w:left="0" w:firstLine="709"/>
        <w:jc w:val="both"/>
        <w:rPr>
          <w:b/>
          <w:i/>
          <w:sz w:val="24"/>
          <w:lang w:val="uk-UA"/>
        </w:rPr>
      </w:pPr>
      <w:r w:rsidRPr="0027260E">
        <w:rPr>
          <w:rStyle w:val="22"/>
          <w:b/>
          <w:i/>
          <w:sz w:val="24"/>
          <w:szCs w:val="24"/>
          <w:lang w:val="uk-UA"/>
        </w:rPr>
        <w:t>Спеціальні (фахові) компетентності спеціальності (СК)</w:t>
      </w:r>
      <w:r w:rsidR="00A67B4A" w:rsidRPr="00A67B4A">
        <w:rPr>
          <w:b/>
          <w:i/>
          <w:sz w:val="24"/>
          <w:lang w:val="uk-UA"/>
        </w:rPr>
        <w:t>:</w:t>
      </w:r>
    </w:p>
    <w:p w:rsidR="009869D8" w:rsidRPr="009869D8" w:rsidRDefault="0027260E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9869D8" w:rsidRPr="009869D8" w:rsidRDefault="0027260E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  </w:t>
      </w:r>
    </w:p>
    <w:p w:rsidR="009869D8" w:rsidRDefault="0027260E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:rsidR="00373F13" w:rsidRPr="00373F13" w:rsidRDefault="0027260E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373F13" w:rsidRPr="00373F13">
        <w:rPr>
          <w:rFonts w:ascii="Times New Roman" w:hAnsi="Times New Roman" w:cs="Times New Roman"/>
          <w:color w:val="000000"/>
          <w:sz w:val="24"/>
          <w:szCs w:val="24"/>
        </w:rPr>
        <w:t xml:space="preserve"> 10. Здатність застосовувати етичні принципи під час виконання професійних обов’язків.</w:t>
      </w:r>
    </w:p>
    <w:p w:rsidR="009869D8" w:rsidRPr="009869D8" w:rsidRDefault="0027260E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 </w:t>
      </w:r>
    </w:p>
    <w:p w:rsidR="00892BC4" w:rsidRDefault="00892BC4" w:rsidP="00892BC4">
      <w:pPr>
        <w:pStyle w:val="a6"/>
        <w:spacing w:before="0" w:beforeAutospacing="0" w:after="0" w:afterAutospacing="0"/>
        <w:jc w:val="both"/>
      </w:pPr>
    </w:p>
    <w:p w:rsidR="00A67B4A" w:rsidRPr="00A67B4A" w:rsidRDefault="00A67B4A" w:rsidP="00A67B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7B4A">
        <w:rPr>
          <w:rFonts w:ascii="Times New Roman" w:hAnsi="Times New Roman" w:cs="Times New Roman"/>
          <w:b/>
          <w:i/>
          <w:sz w:val="24"/>
        </w:rPr>
        <w:t>Очікувані</w:t>
      </w:r>
      <w:r w:rsidRPr="00A67B4A">
        <w:rPr>
          <w:rFonts w:ascii="Times New Roman" w:hAnsi="Times New Roman" w:cs="Times New Roman"/>
          <w:i/>
          <w:sz w:val="24"/>
        </w:rPr>
        <w:t xml:space="preserve"> </w:t>
      </w:r>
      <w:r w:rsidRPr="00A67B4A">
        <w:rPr>
          <w:rFonts w:ascii="Times New Roman" w:hAnsi="Times New Roman" w:cs="Times New Roman"/>
          <w:b/>
          <w:i/>
          <w:sz w:val="24"/>
        </w:rPr>
        <w:t>програмні результати навчання</w:t>
      </w:r>
      <w:r w:rsidRPr="00A67B4A">
        <w:rPr>
          <w:rFonts w:ascii="Times New Roman" w:hAnsi="Times New Roman" w:cs="Times New Roman"/>
          <w:sz w:val="24"/>
        </w:rPr>
        <w:t xml:space="preserve">: 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66177D" w:rsidRPr="0066177D" w:rsidRDefault="0027260E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66177D" w:rsidRPr="006617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 </w:t>
      </w:r>
    </w:p>
    <w:p w:rsidR="000121EA" w:rsidRPr="0066177D" w:rsidRDefault="000121EA" w:rsidP="0066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7260E" w:rsidRDefault="0027260E" w:rsidP="007566D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DFE" w:rsidRPr="00DF37C1" w:rsidRDefault="004566FA" w:rsidP="007566DE">
      <w:pPr>
        <w:jc w:val="center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83DFE" w:rsidRPr="00184286">
        <w:rPr>
          <w:rFonts w:ascii="Times New Roman" w:eastAsia="Times New Roman" w:hAnsi="Times New Roman" w:cs="Times New Roman"/>
          <w:b/>
          <w:sz w:val="28"/>
          <w:szCs w:val="28"/>
        </w:rPr>
        <w:t>. Опис навчальної дисципліни</w:t>
      </w:r>
    </w:p>
    <w:p w:rsidR="00283DFE" w:rsidRPr="00184286" w:rsidRDefault="00283DFE" w:rsidP="0028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FE" w:rsidRPr="00184286" w:rsidRDefault="004566FA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>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6"/>
        <w:gridCol w:w="823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4A4ACA" w:rsidRPr="004A4ACA" w:rsidTr="008176A0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Форма навчання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Рік підготовки</w:t>
            </w:r>
          </w:p>
        </w:tc>
        <w:tc>
          <w:tcPr>
            <w:tcW w:w="823" w:type="dxa"/>
            <w:vMerge w:val="restart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Вид підсум-</w:t>
            </w:r>
          </w:p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кового контролю</w:t>
            </w:r>
          </w:p>
        </w:tc>
      </w:tr>
      <w:tr w:rsidR="004A4ACA" w:rsidRPr="004A4ACA" w:rsidTr="008176A0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3" w:type="dxa"/>
            <w:vMerge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4ACA" w:rsidRPr="004A4ACA" w:rsidTr="00E2628F">
        <w:trPr>
          <w:trHeight w:val="5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>Денна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 w:rsidRPr="004A4ACA">
              <w:rPr>
                <w:rFonts w:ascii="Times New Roman" w:hAnsi="Times New Roman" w:cs="Times New Roman"/>
                <w:sz w:val="24"/>
              </w:rPr>
              <w:t>І</w:t>
            </w:r>
            <w:r w:rsidR="008176A0">
              <w:rPr>
                <w:rFonts w:ascii="Times New Roman" w:hAnsi="Times New Roman" w:cs="Times New Roman"/>
                <w:sz w:val="24"/>
              </w:rPr>
              <w:t>І</w:t>
            </w:r>
          </w:p>
        </w:tc>
        <w:tc>
          <w:tcPr>
            <w:tcW w:w="1190" w:type="dxa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0E4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1</w:t>
            </w:r>
            <w:r w:rsidR="000E4DFD">
              <w:rPr>
                <w:rFonts w:ascii="Times New Roman" w:hAnsi="Times New Roman" w:cs="Times New Roman"/>
                <w:sz w:val="24"/>
              </w:rPr>
              <w:t>2</w:t>
            </w:r>
            <w:r w:rsidRPr="004A4A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Залік</w:t>
            </w:r>
          </w:p>
        </w:tc>
      </w:tr>
      <w:tr w:rsidR="004A4ACA" w:rsidRPr="004A4ACA" w:rsidTr="00E2628F">
        <w:trPr>
          <w:trHeight w:val="5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A4ACA" w:rsidRPr="004A4ACA" w:rsidRDefault="004A4ACA" w:rsidP="00DA25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4ACA">
              <w:rPr>
                <w:rFonts w:ascii="Times New Roman" w:hAnsi="Times New Roman" w:cs="Times New Roman"/>
                <w:b/>
                <w:sz w:val="24"/>
              </w:rPr>
              <w:t xml:space="preserve">Заочна 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 w:rsidRPr="004A4ACA">
              <w:rPr>
                <w:rFonts w:ascii="Times New Roman" w:hAnsi="Times New Roman" w:cs="Times New Roman"/>
                <w:sz w:val="24"/>
              </w:rPr>
              <w:t>І</w:t>
            </w:r>
            <w:r w:rsidR="008176A0">
              <w:rPr>
                <w:rFonts w:ascii="Times New Roman" w:hAnsi="Times New Roman" w:cs="Times New Roman"/>
                <w:sz w:val="24"/>
              </w:rPr>
              <w:t>І</w:t>
            </w:r>
          </w:p>
        </w:tc>
        <w:tc>
          <w:tcPr>
            <w:tcW w:w="1190" w:type="dxa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A4ACA" w:rsidRPr="004A4ACA" w:rsidRDefault="004A4ACA" w:rsidP="000E4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1</w:t>
            </w:r>
            <w:r w:rsidR="000E4DFD">
              <w:rPr>
                <w:rFonts w:ascii="Times New Roman" w:hAnsi="Times New Roman" w:cs="Times New Roman"/>
                <w:sz w:val="24"/>
              </w:rPr>
              <w:t>2</w:t>
            </w:r>
            <w:r w:rsidRPr="004A4AC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ACA" w:rsidRPr="004A4ACA" w:rsidRDefault="004A4ACA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AC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A4ACA" w:rsidRPr="004A4ACA" w:rsidRDefault="000E4DFD" w:rsidP="00DA2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Залік</w:t>
            </w:r>
          </w:p>
        </w:tc>
      </w:tr>
    </w:tbl>
    <w:p w:rsidR="000E423C" w:rsidRDefault="000E423C" w:rsidP="004D04C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3DFE" w:rsidRPr="00184286" w:rsidRDefault="004566FA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sz w:val="28"/>
          <w:szCs w:val="28"/>
        </w:rPr>
        <w:t>Дидактична карта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843"/>
        <w:gridCol w:w="436"/>
        <w:gridCol w:w="493"/>
        <w:gridCol w:w="596"/>
        <w:gridCol w:w="574"/>
        <w:gridCol w:w="562"/>
        <w:gridCol w:w="859"/>
        <w:gridCol w:w="341"/>
        <w:gridCol w:w="493"/>
        <w:gridCol w:w="611"/>
        <w:gridCol w:w="574"/>
        <w:gridCol w:w="560"/>
      </w:tblGrid>
      <w:tr w:rsidR="00283DFE" w:rsidRPr="002F3B31" w:rsidTr="00915D04">
        <w:trPr>
          <w:cantSplit/>
        </w:trPr>
        <w:tc>
          <w:tcPr>
            <w:tcW w:w="1478" w:type="pct"/>
            <w:vMerge w:val="restar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522" w:type="pct"/>
            <w:gridSpan w:val="12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8" w:type="pct"/>
            <w:gridSpan w:val="6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денна форма</w:t>
            </w:r>
          </w:p>
        </w:tc>
        <w:tc>
          <w:tcPr>
            <w:tcW w:w="1744" w:type="pct"/>
            <w:gridSpan w:val="6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заочна форма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50" w:type="pct"/>
            <w:gridSpan w:val="5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  <w:tc>
          <w:tcPr>
            <w:tcW w:w="436" w:type="pct"/>
            <w:vMerge w:val="restar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09" w:type="pct"/>
            <w:gridSpan w:val="5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</w:tr>
      <w:tr w:rsidR="00283DFE" w:rsidRPr="002F3B31" w:rsidTr="00DE6B59">
        <w:trPr>
          <w:cantSplit/>
        </w:trPr>
        <w:tc>
          <w:tcPr>
            <w:tcW w:w="1478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</w:t>
            </w:r>
            <w:r w:rsidR="0016147B" w:rsidRPr="002F3B31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3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r w:rsidR="00283DFE"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84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с.р.</w:t>
            </w:r>
          </w:p>
        </w:tc>
        <w:tc>
          <w:tcPr>
            <w:tcW w:w="436" w:type="pct"/>
            <w:vMerge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" w:type="pct"/>
            <w:vAlign w:val="center"/>
          </w:tcPr>
          <w:p w:rsidR="00283DFE" w:rsidRPr="002F3B31" w:rsidRDefault="002C2477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</w:t>
            </w:r>
            <w:r w:rsidR="0016147B" w:rsidRPr="002F3B31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10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r w:rsidR="00283DFE"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84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с.р.</w:t>
            </w:r>
          </w:p>
        </w:tc>
      </w:tr>
      <w:tr w:rsidR="00283DFE" w:rsidRPr="002F3B31" w:rsidTr="00DE6B59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  <w:tc>
          <w:tcPr>
            <w:tcW w:w="303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</w:p>
        </w:tc>
        <w:tc>
          <w:tcPr>
            <w:tcW w:w="291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6</w:t>
            </w:r>
          </w:p>
        </w:tc>
        <w:tc>
          <w:tcPr>
            <w:tcW w:w="284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</w:p>
        </w:tc>
        <w:tc>
          <w:tcPr>
            <w:tcW w:w="436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8</w:t>
            </w:r>
          </w:p>
        </w:tc>
        <w:tc>
          <w:tcPr>
            <w:tcW w:w="173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9</w:t>
            </w:r>
          </w:p>
        </w:tc>
        <w:tc>
          <w:tcPr>
            <w:tcW w:w="250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310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11</w:t>
            </w:r>
          </w:p>
        </w:tc>
        <w:tc>
          <w:tcPr>
            <w:tcW w:w="291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12</w:t>
            </w:r>
          </w:p>
        </w:tc>
        <w:tc>
          <w:tcPr>
            <w:tcW w:w="284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13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283DFE" w:rsidRPr="002F3B31" w:rsidRDefault="00283DFE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>Теоретико-організаційні засади внутрішнього</w:t>
            </w:r>
            <w:r w:rsidR="000E4DFD">
              <w:rPr>
                <w:rFonts w:ascii="Times New Roman" w:hAnsi="Times New Roman" w:cs="Times New Roman"/>
                <w:b/>
                <w:bCs/>
              </w:rPr>
              <w:t xml:space="preserve"> податкового 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>контролю</w:t>
            </w:r>
          </w:p>
        </w:tc>
      </w:tr>
      <w:tr w:rsidR="0032519C" w:rsidRPr="002F3B31" w:rsidTr="00DE6B59">
        <w:trPr>
          <w:cantSplit/>
          <w:trHeight w:val="265"/>
        </w:trPr>
        <w:tc>
          <w:tcPr>
            <w:tcW w:w="1478" w:type="pct"/>
          </w:tcPr>
          <w:p w:rsidR="0032519C" w:rsidRPr="002F3B31" w:rsidRDefault="0032519C" w:rsidP="00DE6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1. </w:t>
            </w:r>
            <w:r w:rsidR="00DE6B59">
              <w:rPr>
                <w:rFonts w:ascii="Times New Roman" w:eastAsia="Times New Roman" w:hAnsi="Times New Roman" w:cs="Times New Roman"/>
                <w:bCs/>
              </w:rPr>
              <w:t>Нормативно-правове регулювання податкового контролю в Україні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0E6FA3" w:rsidP="000E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3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32519C" w:rsidP="00D005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>Тема 2.</w:t>
            </w:r>
            <w:r w:rsidRPr="002F3B31">
              <w:rPr>
                <w:rFonts w:ascii="Times New Roman" w:eastAsia="Times New Roman" w:hAnsi="Times New Roman" w:cs="Times New Roman"/>
              </w:rPr>
              <w:t xml:space="preserve"> </w:t>
            </w:r>
            <w:r w:rsidR="00DE6B59" w:rsidRPr="002F3B31">
              <w:rPr>
                <w:rFonts w:ascii="Times New Roman" w:hAnsi="Times New Roman" w:cs="Times New Roman"/>
              </w:rPr>
              <w:t>Роль, значення та суть внутрішнього</w:t>
            </w:r>
            <w:r w:rsidR="00DE6B59">
              <w:rPr>
                <w:rFonts w:ascii="Times New Roman" w:hAnsi="Times New Roman" w:cs="Times New Roman"/>
              </w:rPr>
              <w:t xml:space="preserve"> податкового</w:t>
            </w:r>
            <w:r w:rsidR="00DE6B59" w:rsidRPr="002F3B31">
              <w:rPr>
                <w:rFonts w:ascii="Times New Roman" w:hAnsi="Times New Roman" w:cs="Times New Roman"/>
              </w:rPr>
              <w:t xml:space="preserve"> контролю, його </w:t>
            </w:r>
            <w:r w:rsidR="00DE6B59">
              <w:rPr>
                <w:rFonts w:ascii="Times New Roman" w:hAnsi="Times New Roman" w:cs="Times New Roman"/>
              </w:rPr>
              <w:t>взаємозв’язок із внутрішнім контролем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0E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E6F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  <w:shd w:val="clear" w:color="auto" w:fill="auto"/>
          </w:tcPr>
          <w:p w:rsidR="0032519C" w:rsidRPr="002F3B31" w:rsidRDefault="0032519C" w:rsidP="00DE6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3. </w:t>
            </w:r>
            <w:r w:rsidR="007566DE" w:rsidRPr="002F3B31">
              <w:rPr>
                <w:rFonts w:ascii="Times New Roman" w:eastAsia="Times New Roman" w:hAnsi="Times New Roman" w:cs="Times New Roman"/>
                <w:bCs/>
              </w:rPr>
              <w:t>Сучасна концепція та оцінка системи вн</w:t>
            </w:r>
            <w:r w:rsidR="007566DE">
              <w:rPr>
                <w:rFonts w:ascii="Times New Roman" w:eastAsia="Times New Roman" w:hAnsi="Times New Roman" w:cs="Times New Roman"/>
                <w:bCs/>
              </w:rPr>
              <w:t>утрішнього</w:t>
            </w:r>
            <w:r w:rsidR="00DE6B59">
              <w:rPr>
                <w:rFonts w:ascii="Times New Roman" w:eastAsia="Times New Roman" w:hAnsi="Times New Roman" w:cs="Times New Roman"/>
                <w:bCs/>
              </w:rPr>
              <w:t xml:space="preserve"> податкового</w:t>
            </w:r>
            <w:r w:rsidR="007566DE">
              <w:rPr>
                <w:rFonts w:ascii="Times New Roman" w:eastAsia="Times New Roman" w:hAnsi="Times New Roman" w:cs="Times New Roman"/>
                <w:bCs/>
              </w:rPr>
              <w:t xml:space="preserve"> контролю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0E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E6F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325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E2628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  <w:shd w:val="clear" w:color="auto" w:fill="auto"/>
          </w:tcPr>
          <w:p w:rsidR="0032519C" w:rsidRPr="002F3B31" w:rsidRDefault="0032519C" w:rsidP="00DE6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4. </w:t>
            </w:r>
            <w:r w:rsidR="00DE6B59">
              <w:rPr>
                <w:rFonts w:ascii="Times New Roman" w:hAnsi="Times New Roman" w:cs="Times New Roman"/>
              </w:rPr>
              <w:t>Види та організаційні форми внутрішнього податкового контролю суб’єктів господарювання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32519C" w:rsidP="000E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0E6F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32519C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E262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32519C" w:rsidP="001614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32519C" w:rsidRPr="002F3B31" w:rsidRDefault="0032519C" w:rsidP="001614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0E6FA3" w:rsidP="00F12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</w:p>
        </w:tc>
        <w:tc>
          <w:tcPr>
            <w:tcW w:w="173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0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54</w:t>
            </w:r>
          </w:p>
        </w:tc>
      </w:tr>
      <w:tr w:rsidR="00283DFE" w:rsidRPr="002F3B31" w:rsidTr="00915D04">
        <w:trPr>
          <w:cantSplit/>
        </w:trPr>
        <w:tc>
          <w:tcPr>
            <w:tcW w:w="1478" w:type="pct"/>
            <w:vAlign w:val="center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283DFE" w:rsidRPr="002F3B31" w:rsidRDefault="00283DFE" w:rsidP="00DE6B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2. </w:t>
            </w:r>
            <w:r w:rsidR="00DE6B59">
              <w:rPr>
                <w:rFonts w:ascii="Times New Roman" w:hAnsi="Times New Roman" w:cs="Times New Roman"/>
                <w:b/>
                <w:bCs/>
              </w:rPr>
              <w:t>Методичний інструментарій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 xml:space="preserve"> внутрішнього</w:t>
            </w:r>
            <w:r w:rsidR="00DE6B59">
              <w:rPr>
                <w:rFonts w:ascii="Times New Roman" w:hAnsi="Times New Roman" w:cs="Times New Roman"/>
                <w:b/>
                <w:bCs/>
              </w:rPr>
              <w:t xml:space="preserve"> податкового</w:t>
            </w:r>
            <w:r w:rsidR="00A02E7B" w:rsidRPr="002F3B31">
              <w:rPr>
                <w:rFonts w:ascii="Times New Roman" w:hAnsi="Times New Roman" w:cs="Times New Roman"/>
                <w:b/>
                <w:bCs/>
              </w:rPr>
              <w:t xml:space="preserve"> контролю.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810D45" w:rsidP="00810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5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905322">
              <w:rPr>
                <w:rFonts w:ascii="Times New Roman" w:eastAsia="Times New Roman" w:hAnsi="Times New Roman" w:cs="Times New Roman"/>
                <w:bCs/>
              </w:rPr>
              <w:t>Внутрішні та зовнішні інструменти перевірки у системі внутрішнього податкового контролю.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32519C" w:rsidRPr="002F3B31" w:rsidRDefault="000E6FA3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B15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810D45" w:rsidP="00810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6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905322">
              <w:rPr>
                <w:rFonts w:ascii="Times New Roman" w:eastAsia="Times New Roman" w:hAnsi="Times New Roman" w:cs="Times New Roman"/>
                <w:bCs/>
              </w:rPr>
              <w:t>Внутрішній податковий контроль загальнообов’язкових податків та платежів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F12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810D45" w:rsidP="00810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7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905322">
              <w:rPr>
                <w:rFonts w:ascii="Times New Roman" w:eastAsia="Times New Roman" w:hAnsi="Times New Roman" w:cs="Times New Roman"/>
                <w:bCs/>
              </w:rPr>
              <w:t>Внутрішній податковий контроль ресурсних і майнових платежів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085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F9775C" w:rsidP="00810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Тема </w:t>
            </w:r>
            <w:r w:rsidR="00810D45">
              <w:rPr>
                <w:rFonts w:ascii="Times New Roman" w:eastAsia="Times New Roman" w:hAnsi="Times New Roman" w:cs="Times New Roman"/>
                <w:bCs/>
              </w:rPr>
              <w:t>8</w:t>
            </w:r>
            <w:r w:rsidR="0032519C"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905322">
              <w:rPr>
                <w:rFonts w:ascii="Times New Roman" w:eastAsia="Times New Roman" w:hAnsi="Times New Roman" w:cs="Times New Roman"/>
                <w:bCs/>
              </w:rPr>
              <w:t>Відповідальність за порушення вимог податкового законодавства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2519C" w:rsidRPr="002F3B31" w:rsidTr="00DE6B59">
        <w:trPr>
          <w:cantSplit/>
        </w:trPr>
        <w:tc>
          <w:tcPr>
            <w:tcW w:w="1478" w:type="pct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32519C" w:rsidRPr="002F3B31" w:rsidRDefault="0032519C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519C" w:rsidRPr="002F3B31" w:rsidRDefault="0032519C" w:rsidP="000E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1</w:t>
            </w:r>
            <w:r w:rsidR="000E6FA3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2519C" w:rsidRPr="002F3B31" w:rsidRDefault="00DA25E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303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426D9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45</w:t>
            </w:r>
          </w:p>
        </w:tc>
        <w:tc>
          <w:tcPr>
            <w:tcW w:w="436" w:type="pct"/>
            <w:vAlign w:val="center"/>
          </w:tcPr>
          <w:p w:rsidR="0032519C" w:rsidRPr="002F3B31" w:rsidRDefault="00E2628F" w:rsidP="000E4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</w:p>
        </w:tc>
        <w:tc>
          <w:tcPr>
            <w:tcW w:w="173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0" w:type="pct"/>
            <w:vAlign w:val="center"/>
          </w:tcPr>
          <w:p w:rsidR="0032519C" w:rsidRPr="002F3B31" w:rsidRDefault="000E6FA3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310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91" w:type="pct"/>
            <w:vAlign w:val="center"/>
          </w:tcPr>
          <w:p w:rsidR="0032519C" w:rsidRPr="002F3B31" w:rsidRDefault="0032519C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84" w:type="pct"/>
            <w:vAlign w:val="center"/>
          </w:tcPr>
          <w:p w:rsidR="0032519C" w:rsidRPr="002F3B31" w:rsidRDefault="00E262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54</w:t>
            </w:r>
          </w:p>
        </w:tc>
      </w:tr>
      <w:tr w:rsidR="00283DFE" w:rsidRPr="002F3B31" w:rsidTr="00DE6B59">
        <w:trPr>
          <w:cantSplit/>
        </w:trPr>
        <w:tc>
          <w:tcPr>
            <w:tcW w:w="1478" w:type="pct"/>
          </w:tcPr>
          <w:p w:rsidR="00283DFE" w:rsidRPr="002F3B31" w:rsidRDefault="00283DFE" w:rsidP="0016147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>Усього годин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83DFE" w:rsidRPr="002F3B31" w:rsidRDefault="00810D45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83DFE" w:rsidRPr="002F3B31" w:rsidRDefault="00810D45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3DFE" w:rsidRPr="002F3B31" w:rsidRDefault="000121EA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303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283DFE" w:rsidRPr="002F3B31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283DFE" w:rsidRPr="002F3B31" w:rsidRDefault="00810D45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</w:t>
            </w:r>
          </w:p>
        </w:tc>
        <w:tc>
          <w:tcPr>
            <w:tcW w:w="436" w:type="pct"/>
            <w:vAlign w:val="center"/>
          </w:tcPr>
          <w:p w:rsidR="00283DFE" w:rsidRPr="002F3B31" w:rsidRDefault="00810D45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73" w:type="pct"/>
            <w:vAlign w:val="center"/>
          </w:tcPr>
          <w:p w:rsidR="00283DFE" w:rsidRPr="002F3B31" w:rsidRDefault="00810D45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0" w:type="pct"/>
            <w:vAlign w:val="center"/>
          </w:tcPr>
          <w:p w:rsidR="00283DFE" w:rsidRPr="002F3B31" w:rsidRDefault="00B26631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10" w:type="pct"/>
            <w:vAlign w:val="center"/>
          </w:tcPr>
          <w:p w:rsidR="00283DFE" w:rsidRPr="002F3B31" w:rsidRDefault="00F859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91" w:type="pct"/>
            <w:vAlign w:val="center"/>
          </w:tcPr>
          <w:p w:rsidR="00283DFE" w:rsidRPr="002F3B31" w:rsidRDefault="00F8598F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84" w:type="pct"/>
            <w:vAlign w:val="center"/>
          </w:tcPr>
          <w:p w:rsidR="00283DFE" w:rsidRPr="002F3B31" w:rsidRDefault="004A78EB" w:rsidP="00810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</w:tr>
    </w:tbl>
    <w:p w:rsidR="00DF37C1" w:rsidRDefault="00DF37C1" w:rsidP="00F977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E76" w:rsidRDefault="009D5E76" w:rsidP="00F977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119" w:rsidRDefault="00427119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119" w:rsidRDefault="00427119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119" w:rsidRDefault="00427119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119" w:rsidRDefault="00427119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78C" w:rsidRPr="0015368B" w:rsidRDefault="004566FA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Зміст завдань для самостійної роботи</w:t>
      </w:r>
    </w:p>
    <w:p w:rsidR="0079705C" w:rsidRDefault="0079705C" w:rsidP="0015368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566FA" w:rsidRPr="0015368B" w:rsidRDefault="0015368B" w:rsidP="0015368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15368B">
        <w:rPr>
          <w:rFonts w:ascii="Times New Roman" w:hAnsi="Times New Roman" w:cs="Times New Roman"/>
          <w:sz w:val="24"/>
        </w:rPr>
        <w:t>Самостійна робота здобувача з дисципліни «</w:t>
      </w:r>
      <w:r w:rsidR="009D5E76">
        <w:rPr>
          <w:rFonts w:ascii="Times New Roman" w:hAnsi="Times New Roman" w:cs="Times New Roman"/>
          <w:sz w:val="24"/>
        </w:rPr>
        <w:t>Внутрішн</w:t>
      </w:r>
      <w:r w:rsidR="00E2628F">
        <w:rPr>
          <w:rFonts w:ascii="Times New Roman" w:hAnsi="Times New Roman" w:cs="Times New Roman"/>
          <w:sz w:val="24"/>
        </w:rPr>
        <w:t>ій податковий</w:t>
      </w:r>
      <w:r w:rsidR="009D5E76">
        <w:rPr>
          <w:rFonts w:ascii="Times New Roman" w:hAnsi="Times New Roman" w:cs="Times New Roman"/>
          <w:sz w:val="24"/>
        </w:rPr>
        <w:t xml:space="preserve"> контроль</w:t>
      </w:r>
      <w:r w:rsidRPr="0015368B">
        <w:rPr>
          <w:rFonts w:ascii="Times New Roman" w:hAnsi="Times New Roman" w:cs="Times New Roman"/>
          <w:sz w:val="24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Style w:val="a3"/>
        <w:tblW w:w="4874" w:type="pct"/>
        <w:tblLook w:val="04A0" w:firstRow="1" w:lastRow="0" w:firstColumn="1" w:lastColumn="0" w:noHBand="0" w:noVBand="1"/>
      </w:tblPr>
      <w:tblGrid>
        <w:gridCol w:w="518"/>
        <w:gridCol w:w="6254"/>
        <w:gridCol w:w="1418"/>
        <w:gridCol w:w="1416"/>
      </w:tblGrid>
      <w:tr w:rsidR="00427119" w:rsidRPr="00EB57B1" w:rsidTr="00427119">
        <w:tc>
          <w:tcPr>
            <w:tcW w:w="270" w:type="pct"/>
            <w:vAlign w:val="center"/>
          </w:tcPr>
          <w:p w:rsidR="00427119" w:rsidRPr="00EB57B1" w:rsidRDefault="00427119" w:rsidP="00CB2F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427119" w:rsidRPr="00EB57B1" w:rsidRDefault="00427119" w:rsidP="00CB2F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55" w:type="pct"/>
            <w:tcBorders>
              <w:right w:val="single" w:sz="4" w:space="0" w:color="auto"/>
            </w:tcBorders>
            <w:vAlign w:val="center"/>
          </w:tcPr>
          <w:p w:rsidR="00427119" w:rsidRPr="00EB57B1" w:rsidRDefault="00427119" w:rsidP="00CB2F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теми 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Default="00427119" w:rsidP="00505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427119" w:rsidRPr="00EB57B1" w:rsidRDefault="00427119" w:rsidP="00505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ф.н.</w:t>
            </w:r>
          </w:p>
        </w:tc>
        <w:tc>
          <w:tcPr>
            <w:tcW w:w="737" w:type="pct"/>
            <w:tcBorders>
              <w:left w:val="single" w:sz="4" w:space="0" w:color="auto"/>
            </w:tcBorders>
          </w:tcPr>
          <w:p w:rsidR="00427119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ф.н.</w:t>
            </w:r>
          </w:p>
        </w:tc>
      </w:tr>
      <w:tr w:rsidR="00427119" w:rsidRPr="00EB57B1" w:rsidTr="00427119">
        <w:tc>
          <w:tcPr>
            <w:tcW w:w="270" w:type="pct"/>
            <w:vAlign w:val="center"/>
          </w:tcPr>
          <w:p w:rsidR="00427119" w:rsidRPr="00EB57B1" w:rsidRDefault="00427119" w:rsidP="0015371E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1537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38" w:type="pct"/>
            <w:tcBorders>
              <w:left w:val="single" w:sz="4" w:space="0" w:color="auto"/>
            </w:tcBorders>
          </w:tcPr>
          <w:p w:rsidR="00427119" w:rsidRPr="00EB57B1" w:rsidRDefault="00427119" w:rsidP="00505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EB57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37" w:type="pct"/>
            <w:tcBorders>
              <w:left w:val="single" w:sz="4" w:space="0" w:color="auto"/>
            </w:tcBorders>
          </w:tcPr>
          <w:p w:rsidR="00427119" w:rsidRPr="00EB57B1" w:rsidRDefault="00427119" w:rsidP="00505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27119" w:rsidRPr="00EB57B1" w:rsidTr="00427119"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податкового контролю та податкові системи в Україні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27119" w:rsidRPr="00EB57B1" w:rsidTr="00427119">
        <w:trPr>
          <w:trHeight w:val="60"/>
        </w:trPr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податковий контроль: його суть, предмет, об’єкти та завдання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27119" w:rsidRPr="00EB57B1" w:rsidTr="00427119">
        <w:trPr>
          <w:trHeight w:val="60"/>
        </w:trPr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методів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податкової перевірки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27119" w:rsidRPr="00EB57B1" w:rsidTr="00427119">
        <w:trPr>
          <w:trHeight w:val="60"/>
        </w:trPr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утрішнього податкового контролю та інформаційне забезпечення.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27119" w:rsidRPr="00381DC0" w:rsidTr="00F37429">
        <w:tc>
          <w:tcPr>
            <w:tcW w:w="270" w:type="pct"/>
            <w:vAlign w:val="center"/>
          </w:tcPr>
          <w:p w:rsidR="00427119" w:rsidRPr="00381DC0" w:rsidRDefault="00427119" w:rsidP="004271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427119" w:rsidRDefault="00427119" w:rsidP="00427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7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формування доказової бази внутрішнього податкового контролю із залученням зовнішніх спеціалістів.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381DC0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81D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7119" w:rsidRPr="00EB57B1" w:rsidTr="00F37429"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внутрішнього податкового контролю загальнообов’язкових податків</w:t>
            </w:r>
            <w:r w:rsidRPr="00EB57B1">
              <w:rPr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27119" w:rsidRPr="00EB57B1" w:rsidTr="00F37429"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внутрішнього податкового контролю місцевих податків та зборів</w:t>
            </w:r>
            <w:r w:rsidRPr="00EB5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27119" w:rsidRPr="00EB57B1" w:rsidTr="00F37429">
        <w:trPr>
          <w:trHeight w:val="60"/>
        </w:trPr>
        <w:tc>
          <w:tcPr>
            <w:tcW w:w="270" w:type="pct"/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7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4271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Відповідальність за порушення умов оподаткування</w:t>
            </w:r>
            <w:r w:rsidRPr="00EB57B1">
              <w:rPr>
                <w:lang w:val="uk-UA"/>
              </w:rPr>
              <w:t>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37" w:type="pct"/>
            <w:tcBorders>
              <w:left w:val="single" w:sz="4" w:space="0" w:color="auto"/>
            </w:tcBorders>
            <w:vAlign w:val="center"/>
          </w:tcPr>
          <w:p w:rsidR="00427119" w:rsidRPr="002F3B31" w:rsidRDefault="00427119" w:rsidP="0042711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27119" w:rsidRPr="00EB57B1" w:rsidTr="00427119">
        <w:tc>
          <w:tcPr>
            <w:tcW w:w="270" w:type="pct"/>
            <w:vAlign w:val="center"/>
          </w:tcPr>
          <w:p w:rsidR="00427119" w:rsidRPr="00EB57B1" w:rsidRDefault="00427119" w:rsidP="005F4B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Borders>
              <w:right w:val="single" w:sz="4" w:space="0" w:color="auto"/>
            </w:tcBorders>
          </w:tcPr>
          <w:p w:rsidR="00427119" w:rsidRPr="00EB57B1" w:rsidRDefault="00427119" w:rsidP="00B15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427119" w:rsidRPr="00EB57B1" w:rsidRDefault="00427119" w:rsidP="005F4BE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37" w:type="pct"/>
            <w:tcBorders>
              <w:left w:val="single" w:sz="4" w:space="0" w:color="auto"/>
            </w:tcBorders>
          </w:tcPr>
          <w:p w:rsidR="00427119" w:rsidRDefault="00427119" w:rsidP="005F4BE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</w:tbl>
    <w:p w:rsidR="00871DED" w:rsidRPr="00871DED" w:rsidRDefault="00871DED" w:rsidP="00F9775C">
      <w:pPr>
        <w:keepNext/>
        <w:keepLines/>
        <w:tabs>
          <w:tab w:val="left" w:pos="298"/>
        </w:tabs>
        <w:spacing w:after="0"/>
        <w:jc w:val="center"/>
        <w:rPr>
          <w:rStyle w:val="1"/>
          <w:b/>
          <w:sz w:val="24"/>
          <w:szCs w:val="24"/>
        </w:rPr>
      </w:pPr>
      <w:r w:rsidRPr="00871DED">
        <w:rPr>
          <w:rStyle w:val="1"/>
          <w:b/>
          <w:sz w:val="24"/>
          <w:szCs w:val="24"/>
        </w:rPr>
        <w:lastRenderedPageBreak/>
        <w:t>6. Методи навчання, контрольні заходи та критерії оцінювання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871DED">
        <w:rPr>
          <w:rFonts w:ascii="Times New Roman" w:hAnsi="Times New Roman" w:cs="Times New Roman"/>
          <w:b/>
          <w:i/>
          <w:sz w:val="24"/>
        </w:rPr>
        <w:t>Методи навчання: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вербальні методи (лекція, дискусія, бесіда, пояснення, розповідь);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практичні методи (практичні та ситуаційні завдання);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наочні методи (презентації, ілюстрації, відеоматеріали);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самостійна робота над індивідуальним завданням за програмою навчальної дисципліни;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комп’ютерні засоби навчання ( дистанційне навчання з використанням онлайн-платформ).</w:t>
      </w:r>
    </w:p>
    <w:p w:rsidR="00871DED" w:rsidRPr="00474B5A" w:rsidRDefault="00871DED" w:rsidP="00871DED">
      <w:pPr>
        <w:keepNext/>
        <w:keepLines/>
        <w:tabs>
          <w:tab w:val="left" w:pos="540"/>
        </w:tabs>
        <w:spacing w:after="0"/>
        <w:ind w:firstLine="720"/>
        <w:jc w:val="both"/>
        <w:rPr>
          <w:rStyle w:val="1"/>
          <w:sz w:val="24"/>
          <w:szCs w:val="24"/>
          <w:u w:val="none"/>
        </w:rPr>
      </w:pPr>
      <w:r w:rsidRPr="00474B5A">
        <w:rPr>
          <w:rStyle w:val="1"/>
          <w:b/>
          <w:i/>
          <w:sz w:val="24"/>
          <w:szCs w:val="24"/>
          <w:u w:val="none"/>
        </w:rPr>
        <w:t xml:space="preserve">Контрольні заходи </w:t>
      </w:r>
      <w:r w:rsidRPr="00474B5A">
        <w:rPr>
          <w:rStyle w:val="1"/>
          <w:sz w:val="24"/>
          <w:szCs w:val="24"/>
          <w:u w:val="none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</w:t>
      </w:r>
      <w:r w:rsidR="00F9775C" w:rsidRPr="00474B5A">
        <w:rPr>
          <w:rStyle w:val="1"/>
          <w:sz w:val="24"/>
          <w:szCs w:val="24"/>
          <w:u w:val="none"/>
        </w:rPr>
        <w:t>и під час проведення практичних</w:t>
      </w:r>
      <w:r w:rsidRPr="00474B5A">
        <w:rPr>
          <w:rStyle w:val="1"/>
          <w:sz w:val="24"/>
          <w:szCs w:val="24"/>
          <w:u w:val="none"/>
        </w:rPr>
        <w:t xml:space="preserve">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i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>Методи оцінювання::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 xml:space="preserve">– </w:t>
      </w:r>
      <w:r w:rsidR="00474B5A">
        <w:rPr>
          <w:rFonts w:ascii="Times New Roman" w:hAnsi="Times New Roman" w:cs="Times New Roman"/>
          <w:sz w:val="24"/>
        </w:rPr>
        <w:t>суцільне</w:t>
      </w:r>
      <w:r w:rsidRPr="00871DED">
        <w:rPr>
          <w:rFonts w:ascii="Times New Roman" w:hAnsi="Times New Roman" w:cs="Times New Roman"/>
          <w:sz w:val="24"/>
        </w:rPr>
        <w:t xml:space="preserve"> усне опитування термінів глосарію;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індивідуальне усне опитування;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 xml:space="preserve">– </w:t>
      </w:r>
      <w:r w:rsidR="00915D04">
        <w:rPr>
          <w:rFonts w:ascii="Times New Roman" w:hAnsi="Times New Roman" w:cs="Times New Roman"/>
          <w:sz w:val="24"/>
        </w:rPr>
        <w:t>тестування</w:t>
      </w:r>
      <w:r w:rsidRPr="00871DED">
        <w:rPr>
          <w:rFonts w:ascii="Times New Roman" w:hAnsi="Times New Roman" w:cs="Times New Roman"/>
          <w:sz w:val="24"/>
        </w:rPr>
        <w:t>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оцінювання виконаних практичних завдань;</w:t>
      </w:r>
    </w:p>
    <w:p w:rsidR="00871DED" w:rsidRPr="00871DED" w:rsidRDefault="00871DED" w:rsidP="00915D04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презентація результатів виконаних індивідуальних творчих та розрахункових завдань (реферати,</w:t>
      </w:r>
      <w:r w:rsidR="00915D04">
        <w:rPr>
          <w:rFonts w:ascii="Times New Roman" w:hAnsi="Times New Roman" w:cs="Times New Roman"/>
          <w:sz w:val="24"/>
        </w:rPr>
        <w:t xml:space="preserve"> есе, звіти, доповіді, статті)</w:t>
      </w:r>
      <w:r w:rsidRPr="00871DED">
        <w:rPr>
          <w:rFonts w:ascii="Times New Roman" w:hAnsi="Times New Roman" w:cs="Times New Roman"/>
          <w:sz w:val="24"/>
        </w:rPr>
        <w:t>;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–  підсумковий контроль.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rPr>
          <w:rFonts w:ascii="Times New Roman" w:hAnsi="Times New Roman" w:cs="Times New Roman"/>
          <w:b/>
          <w:i/>
          <w:sz w:val="24"/>
        </w:rPr>
      </w:pPr>
      <w:r w:rsidRPr="00871DED">
        <w:rPr>
          <w:rStyle w:val="1"/>
          <w:b/>
          <w:i/>
          <w:sz w:val="24"/>
          <w:szCs w:val="24"/>
        </w:rPr>
        <w:t>Система оцінювання навчальних досягнень</w:t>
      </w:r>
      <w:r w:rsidRPr="00871DED">
        <w:rPr>
          <w:rFonts w:ascii="Times New Roman" w:hAnsi="Times New Roman" w:cs="Times New Roman"/>
          <w:b/>
          <w:i/>
          <w:sz w:val="24"/>
        </w:rPr>
        <w:t>: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 xml:space="preserve">Дедлайни та перескладання. </w:t>
      </w:r>
      <w:r w:rsidRPr="00871DED">
        <w:rPr>
          <w:rFonts w:ascii="Times New Roman" w:hAnsi="Times New Roman" w:cs="Times New Roman"/>
          <w:sz w:val="24"/>
        </w:rPr>
        <w:t>Роботи, які здаються із порушенням оголошених термінів виконання без поважних причин, оцінюються на нижчу оцінку (мінус 1 бал за кожен день порушення дедлайну).</w:t>
      </w:r>
    </w:p>
    <w:p w:rsidR="00871DED" w:rsidRPr="00871DED" w:rsidRDefault="00871DED" w:rsidP="00871DED">
      <w:pPr>
        <w:keepNext/>
        <w:keepLines/>
        <w:tabs>
          <w:tab w:val="left" w:pos="298"/>
        </w:tabs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>Академічна доброчесність.</w:t>
      </w:r>
      <w:r w:rsidRPr="00871DED">
        <w:rPr>
          <w:rFonts w:ascii="Times New Roman" w:hAnsi="Times New Roman" w:cs="Times New Roman"/>
          <w:sz w:val="24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871DED" w:rsidRPr="00871DED" w:rsidRDefault="00871DED" w:rsidP="00871DED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i/>
          <w:sz w:val="24"/>
        </w:rPr>
        <w:t>Відвідування занять.</w:t>
      </w:r>
      <w:r w:rsidRPr="00871DED">
        <w:rPr>
          <w:rFonts w:ascii="Times New Roman" w:hAnsi="Times New Roman" w:cs="Times New Roman"/>
          <w:sz w:val="24"/>
        </w:rPr>
        <w:t xml:space="preserve"> Обов’язковою умовою виконання навчального плану є відвідування практичних занять. За об’єктивних причин навчання може відбуватись за індивідуальним графіком чи у он-лайн форматі.</w:t>
      </w:r>
    </w:p>
    <w:p w:rsidR="00871DED" w:rsidRPr="00871DED" w:rsidRDefault="00871DED" w:rsidP="00871DED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871DED">
        <w:rPr>
          <w:rFonts w:ascii="Times New Roman" w:hAnsi="Times New Roman" w:cs="Times New Roman"/>
          <w:b/>
          <w:i/>
          <w:sz w:val="24"/>
        </w:rPr>
        <w:t>Критерії оцінювання: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rPr>
          <w:bCs/>
          <w:i/>
        </w:rPr>
        <w:t>при усних відповідях</w:t>
      </w:r>
      <w:r w:rsidRPr="00871DED">
        <w:rPr>
          <w:i/>
        </w:rPr>
        <w:t>:</w:t>
      </w:r>
      <w:r w:rsidRPr="00871DED"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rPr>
          <w:bCs/>
          <w:i/>
        </w:rPr>
        <w:t>при виконанні письмових завдань</w:t>
      </w:r>
      <w:r w:rsidRPr="00871DED">
        <w:rPr>
          <w:i/>
        </w:rPr>
        <w:t>:</w:t>
      </w:r>
      <w:r w:rsidRPr="00871DED"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871DED" w:rsidRPr="00871DED" w:rsidRDefault="00871DED" w:rsidP="00871DED">
      <w:pPr>
        <w:pStyle w:val="a6"/>
        <w:spacing w:before="0" w:beforeAutospacing="0" w:after="0" w:afterAutospacing="0"/>
        <w:ind w:firstLine="709"/>
        <w:jc w:val="both"/>
      </w:pPr>
      <w:r w:rsidRPr="00871DED">
        <w:t xml:space="preserve">Результати поточного оцінювання навчальних досягнень відображаються у </w:t>
      </w:r>
      <w:r w:rsidRPr="00871DED">
        <w:rPr>
          <w:i/>
        </w:rPr>
        <w:t>Журналі</w:t>
      </w:r>
      <w:r w:rsidRPr="00871DED">
        <w:t xml:space="preserve"> </w:t>
      </w:r>
      <w:r w:rsidRPr="00871DED">
        <w:rPr>
          <w:i/>
        </w:rPr>
        <w:t>успішності</w:t>
      </w:r>
      <w:r w:rsidR="00004741">
        <w:rPr>
          <w:i/>
        </w:rPr>
        <w:t xml:space="preserve"> (за темами)</w:t>
      </w:r>
      <w:r w:rsidRPr="00871DED">
        <w:t xml:space="preserve"> викладача</w:t>
      </w:r>
      <w:r>
        <w:t xml:space="preserve">. </w:t>
      </w: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lastRenderedPageBreak/>
        <w:t>Розподіл балів, які отримують здобувачі:</w:t>
      </w: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709"/>
        <w:gridCol w:w="850"/>
        <w:gridCol w:w="567"/>
        <w:gridCol w:w="709"/>
        <w:gridCol w:w="709"/>
        <w:gridCol w:w="744"/>
        <w:gridCol w:w="815"/>
        <w:gridCol w:w="1276"/>
        <w:gridCol w:w="1275"/>
      </w:tblGrid>
      <w:tr w:rsidR="002C065D" w:rsidRPr="00070598" w:rsidTr="00381DC0">
        <w:tc>
          <w:tcPr>
            <w:tcW w:w="7088" w:type="dxa"/>
            <w:gridSpan w:val="10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Поточне оцінювання </w:t>
            </w:r>
          </w:p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(аудиторна та самостійна робота)</w:t>
            </w:r>
          </w:p>
        </w:tc>
        <w:tc>
          <w:tcPr>
            <w:tcW w:w="1276" w:type="dxa"/>
            <w:vMerge w:val="restart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балів</w:t>
            </w:r>
          </w:p>
          <w:p w:rsidR="002C065D" w:rsidRPr="00070598" w:rsidRDefault="002C065D" w:rsidP="00381DC0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81D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залік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Сумарна кількість балів</w:t>
            </w:r>
          </w:p>
        </w:tc>
      </w:tr>
      <w:tr w:rsidR="007A4F54" w:rsidRPr="00070598" w:rsidTr="00381DC0">
        <w:trPr>
          <w:trHeight w:val="53"/>
        </w:trPr>
        <w:tc>
          <w:tcPr>
            <w:tcW w:w="3544" w:type="dxa"/>
            <w:gridSpan w:val="5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1</w:t>
            </w:r>
          </w:p>
        </w:tc>
        <w:tc>
          <w:tcPr>
            <w:tcW w:w="3544" w:type="dxa"/>
            <w:gridSpan w:val="5"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2</w:t>
            </w:r>
          </w:p>
        </w:tc>
        <w:tc>
          <w:tcPr>
            <w:tcW w:w="1276" w:type="dxa"/>
            <w:vMerge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C065D" w:rsidRPr="00070598" w:rsidRDefault="002C065D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81DC0" w:rsidRPr="007A4F54" w:rsidTr="00381DC0">
        <w:trPr>
          <w:trHeight w:val="53"/>
        </w:trPr>
        <w:tc>
          <w:tcPr>
            <w:tcW w:w="567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Т1</w:t>
            </w:r>
          </w:p>
        </w:tc>
        <w:tc>
          <w:tcPr>
            <w:tcW w:w="709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Т2</w:t>
            </w:r>
          </w:p>
        </w:tc>
        <w:tc>
          <w:tcPr>
            <w:tcW w:w="709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Т3</w:t>
            </w:r>
          </w:p>
        </w:tc>
        <w:tc>
          <w:tcPr>
            <w:tcW w:w="709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Ра</w:t>
            </w: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зом</w:t>
            </w:r>
          </w:p>
        </w:tc>
        <w:tc>
          <w:tcPr>
            <w:tcW w:w="567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381DC0" w:rsidRPr="007A4F54" w:rsidRDefault="00381DC0" w:rsidP="00381DC0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381DC0" w:rsidRPr="00381DC0" w:rsidRDefault="00381DC0" w:rsidP="00381DC0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744" w:type="dxa"/>
          </w:tcPr>
          <w:p w:rsidR="00381DC0" w:rsidRPr="007A4F54" w:rsidRDefault="00381DC0" w:rsidP="00381DC0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815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A4F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Разом </w:t>
            </w:r>
          </w:p>
        </w:tc>
        <w:tc>
          <w:tcPr>
            <w:tcW w:w="1276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381DC0" w:rsidRPr="007A4F54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381DC0" w:rsidRPr="00070598" w:rsidTr="00381DC0">
        <w:tc>
          <w:tcPr>
            <w:tcW w:w="567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</w:tcPr>
          <w:p w:rsidR="00381DC0" w:rsidRPr="00070598" w:rsidRDefault="00381DC0" w:rsidP="00381DC0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44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5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6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75" w:type="dxa"/>
          </w:tcPr>
          <w:p w:rsidR="00381DC0" w:rsidRPr="00070598" w:rsidRDefault="00381DC0" w:rsidP="00DA25E3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</w:t>
      </w:r>
      <w:r w:rsidR="00004741">
        <w:rPr>
          <w:rFonts w:ascii="Times New Roman" w:hAnsi="Times New Roman" w:cs="Times New Roman"/>
          <w:sz w:val="24"/>
        </w:rPr>
        <w:t>рає при поточних видах контролю</w:t>
      </w:r>
      <w:r w:rsidR="0054385F">
        <w:rPr>
          <w:rFonts w:ascii="Times New Roman" w:hAnsi="Times New Roman" w:cs="Times New Roman"/>
          <w:sz w:val="24"/>
        </w:rPr>
        <w:t xml:space="preserve"> </w:t>
      </w:r>
      <w:r w:rsidR="0054385F" w:rsidRPr="0054385F">
        <w:rPr>
          <w:rFonts w:ascii="Times New Roman" w:hAnsi="Times New Roman" w:cs="Times New Roman"/>
          <w:sz w:val="24"/>
        </w:rPr>
        <w:t>(</w:t>
      </w:r>
      <w:r w:rsidR="00381DC0">
        <w:rPr>
          <w:rFonts w:ascii="Times New Roman" w:hAnsi="Times New Roman" w:cs="Times New Roman"/>
          <w:i/>
          <w:sz w:val="24"/>
        </w:rPr>
        <w:t>30</w:t>
      </w:r>
      <w:r w:rsidR="0054385F" w:rsidRPr="0054385F">
        <w:rPr>
          <w:rFonts w:ascii="Times New Roman" w:hAnsi="Times New Roman" w:cs="Times New Roman"/>
          <w:i/>
          <w:sz w:val="24"/>
        </w:rPr>
        <w:t xml:space="preserve"> б</w:t>
      </w:r>
      <w:r w:rsidR="007A4F54">
        <w:rPr>
          <w:rFonts w:ascii="Times New Roman" w:hAnsi="Times New Roman" w:cs="Times New Roman"/>
          <w:i/>
          <w:sz w:val="24"/>
        </w:rPr>
        <w:t xml:space="preserve">алів за 1 змістовий модуль та </w:t>
      </w:r>
      <w:r w:rsidR="00381DC0">
        <w:rPr>
          <w:rFonts w:ascii="Times New Roman" w:hAnsi="Times New Roman" w:cs="Times New Roman"/>
          <w:i/>
          <w:sz w:val="24"/>
        </w:rPr>
        <w:t>30</w:t>
      </w:r>
      <w:r w:rsidR="0054385F" w:rsidRPr="0054385F">
        <w:rPr>
          <w:rFonts w:ascii="Times New Roman" w:hAnsi="Times New Roman" w:cs="Times New Roman"/>
          <w:i/>
          <w:sz w:val="24"/>
        </w:rPr>
        <w:t xml:space="preserve"> балів за 2 змістовий модуль</w:t>
      </w:r>
      <w:r w:rsidR="0054385F" w:rsidRPr="0054385F">
        <w:rPr>
          <w:rFonts w:ascii="Times New Roman" w:hAnsi="Times New Roman" w:cs="Times New Roman"/>
          <w:sz w:val="24"/>
        </w:rPr>
        <w:t xml:space="preserve">) </w:t>
      </w:r>
      <w:r w:rsidRPr="00871DED">
        <w:rPr>
          <w:rFonts w:ascii="Times New Roman" w:hAnsi="Times New Roman" w:cs="Times New Roman"/>
          <w:sz w:val="24"/>
        </w:rPr>
        <w:t xml:space="preserve"> і 40 балів – у процесі під</w:t>
      </w:r>
      <w:r w:rsidR="00AE0860">
        <w:rPr>
          <w:rFonts w:ascii="Times New Roman" w:hAnsi="Times New Roman" w:cs="Times New Roman"/>
          <w:sz w:val="24"/>
        </w:rPr>
        <w:t xml:space="preserve">сумкового виду контролю (здачі </w:t>
      </w:r>
      <w:r w:rsidR="00381DC0">
        <w:rPr>
          <w:rFonts w:ascii="Times New Roman" w:hAnsi="Times New Roman" w:cs="Times New Roman"/>
          <w:sz w:val="24"/>
        </w:rPr>
        <w:t>заліку</w:t>
      </w:r>
      <w:r w:rsidRPr="00871DED">
        <w:rPr>
          <w:rFonts w:ascii="Times New Roman" w:hAnsi="Times New Roman" w:cs="Times New Roman"/>
          <w:sz w:val="24"/>
        </w:rPr>
        <w:t xml:space="preserve">). </w:t>
      </w:r>
    </w:p>
    <w:p w:rsidR="00871DED" w:rsidRPr="00871DED" w:rsidRDefault="00871DED" w:rsidP="00871DED">
      <w:pPr>
        <w:pStyle w:val="10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З навчальної дисципліни «</w:t>
      </w:r>
      <w:r w:rsidR="00DA1CE4">
        <w:rPr>
          <w:rFonts w:ascii="Times New Roman" w:hAnsi="Times New Roman"/>
          <w:b/>
          <w:sz w:val="24"/>
          <w:szCs w:val="24"/>
        </w:rPr>
        <w:t>Внутрішн</w:t>
      </w:r>
      <w:r w:rsidR="00381DC0">
        <w:rPr>
          <w:rFonts w:ascii="Times New Roman" w:hAnsi="Times New Roman"/>
          <w:b/>
          <w:sz w:val="24"/>
          <w:szCs w:val="24"/>
        </w:rPr>
        <w:t>і</w:t>
      </w:r>
      <w:r w:rsidR="00DA1CE4">
        <w:rPr>
          <w:rFonts w:ascii="Times New Roman" w:hAnsi="Times New Roman"/>
          <w:b/>
          <w:sz w:val="24"/>
          <w:szCs w:val="24"/>
        </w:rPr>
        <w:t>й</w:t>
      </w:r>
      <w:r w:rsidR="00381DC0">
        <w:rPr>
          <w:rFonts w:ascii="Times New Roman" w:hAnsi="Times New Roman"/>
          <w:b/>
          <w:sz w:val="24"/>
          <w:szCs w:val="24"/>
        </w:rPr>
        <w:t xml:space="preserve"> податковий</w:t>
      </w:r>
      <w:r w:rsidR="00DA1CE4">
        <w:rPr>
          <w:rFonts w:ascii="Times New Roman" w:hAnsi="Times New Roman"/>
          <w:b/>
          <w:sz w:val="24"/>
          <w:szCs w:val="24"/>
        </w:rPr>
        <w:t xml:space="preserve"> контроль</w:t>
      </w:r>
      <w:r w:rsidRPr="00871DED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 w:rsidR="00381DC0">
        <w:rPr>
          <w:rFonts w:ascii="Times New Roman" w:hAnsi="Times New Roman"/>
          <w:b/>
          <w:i/>
          <w:sz w:val="24"/>
          <w:szCs w:val="24"/>
        </w:rPr>
        <w:t>залік</w:t>
      </w:r>
      <w:r w:rsidRPr="00871DED">
        <w:rPr>
          <w:rFonts w:ascii="Times New Roman" w:hAnsi="Times New Roman"/>
          <w:sz w:val="24"/>
          <w:szCs w:val="24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871DED" w:rsidRPr="00871DED" w:rsidRDefault="00871DED" w:rsidP="00871DED">
      <w:pPr>
        <w:pStyle w:val="2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871DED">
        <w:rPr>
          <w:sz w:val="24"/>
          <w:lang w:val="uk-UA"/>
        </w:rPr>
        <w:t xml:space="preserve">У 40 балів, що можливо отримати на </w:t>
      </w:r>
      <w:r w:rsidR="00381DC0">
        <w:rPr>
          <w:sz w:val="24"/>
          <w:lang w:val="uk-UA"/>
        </w:rPr>
        <w:t>заліку</w:t>
      </w:r>
      <w:r w:rsidRPr="00871DED">
        <w:rPr>
          <w:sz w:val="24"/>
          <w:lang w:val="uk-UA"/>
        </w:rPr>
        <w:t xml:space="preserve">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871DED" w:rsidRPr="00871DED" w:rsidRDefault="00871DED" w:rsidP="00871DED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871DED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871DED" w:rsidRPr="00871DED" w:rsidTr="00B158C3">
        <w:tc>
          <w:tcPr>
            <w:tcW w:w="3419" w:type="dxa"/>
            <w:vMerge w:val="restart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Оцінка за шкалою </w:t>
            </w:r>
            <w:r w:rsidRPr="00871DED">
              <w:rPr>
                <w:rFonts w:ascii="Times New Roman" w:hAnsi="Times New Roman" w:cs="Times New Roman"/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(бали)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Пояснення</w:t>
            </w:r>
          </w:p>
        </w:tc>
      </w:tr>
      <w:tr w:rsidR="00871DED" w:rsidRPr="00871DED" w:rsidTr="00B158C3">
        <w:tc>
          <w:tcPr>
            <w:tcW w:w="3419" w:type="dxa"/>
            <w:vAlign w:val="center"/>
          </w:tcPr>
          <w:p w:rsidR="00871DED" w:rsidRPr="00871DED" w:rsidRDefault="00427119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зараховано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А (90-100)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відмінно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427119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зараховано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 (80-89)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дуже добре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С (70-79)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добре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427119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зараховано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 (60-69)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задовільно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Е (50-59)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достатньо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42711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</w:t>
            </w:r>
            <w:r w:rsidR="00427119">
              <w:rPr>
                <w:rFonts w:ascii="Times New Roman" w:hAnsi="Times New Roman" w:cs="Times New Roman"/>
                <w:b/>
                <w:sz w:val="24"/>
                <w:lang w:val="uk-UA"/>
              </w:rPr>
              <w:t>рахова</w:t>
            </w: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FХ (35-49)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 (1-34)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обов’язковим повторним курсом</w:t>
            </w:r>
          </w:p>
        </w:tc>
      </w:tr>
    </w:tbl>
    <w:p w:rsidR="00871DED" w:rsidRPr="00871DED" w:rsidRDefault="00871DED" w:rsidP="00871DED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 xml:space="preserve">Відповідь оцінюється на «С» за умови повного та правильного розкриття питання </w:t>
      </w:r>
      <w:bookmarkStart w:id="0" w:name="_GoBack"/>
      <w:bookmarkEnd w:id="0"/>
      <w:r w:rsidRPr="00871DED">
        <w:rPr>
          <w:rFonts w:ascii="Times New Roman" w:hAnsi="Times New Roman"/>
          <w:sz w:val="24"/>
          <w:szCs w:val="24"/>
        </w:rPr>
        <w:t xml:space="preserve">або правильного розв’язання виробничої ситуації, але у відповіді недостатньо правильно </w:t>
      </w:r>
      <w:r w:rsidRPr="00871DED">
        <w:rPr>
          <w:rFonts w:ascii="Times New Roman" w:hAnsi="Times New Roman"/>
          <w:sz w:val="24"/>
          <w:szCs w:val="24"/>
        </w:rPr>
        <w:lastRenderedPageBreak/>
        <w:t>сформульовано визначення з глосарію. У той же час тестові завдання вирішені на належному рівні.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 усіх інших випадках відповідь оцінюється на «Fx».</w:t>
      </w:r>
    </w:p>
    <w:p w:rsidR="00CB2FCE" w:rsidRPr="00871DED" w:rsidRDefault="00CB2FCE" w:rsidP="00871DED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6B0">
        <w:rPr>
          <w:rFonts w:ascii="Times New Roman" w:eastAsia="Times New Roman" w:hAnsi="Times New Roman" w:cs="Times New Roman"/>
          <w:b/>
          <w:sz w:val="24"/>
          <w:szCs w:val="24"/>
        </w:rPr>
        <w:t>7. Рекомендована література</w:t>
      </w: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7.1. </w:t>
      </w:r>
      <w:r w:rsidR="000F544C"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>Фахова</w:t>
      </w:r>
      <w:r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(основна)</w:t>
      </w:r>
    </w:p>
    <w:p w:rsidR="008B667B" w:rsidRPr="008B667B" w:rsidRDefault="008B667B" w:rsidP="008B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1DC0" w:rsidRPr="00381DC0" w:rsidRDefault="00381DC0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1DC0">
        <w:rPr>
          <w:rFonts w:ascii="Times New Roman" w:hAnsi="Times New Roman" w:cs="Times New Roman"/>
          <w:sz w:val="24"/>
          <w:szCs w:val="24"/>
        </w:rPr>
        <w:t>Артюх О. В. Внутрішній податковий контроль: теоретико-методичні та організаційні аспекти. Реформування обліково-контрольної системи підприємств України за міжнародними стандартами : монографія. Харків : «Діса плюс», 2018 С. 71–88.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Внутрішньогосподарський контроль: практикум / укл. Ковальчук Т.М., </w:t>
      </w:r>
      <w:r w:rsidRPr="008B667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Танасієва М.М.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Чернівці: Чернівец. нац. ун-т, 2021. 148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Гуцаленко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В. Внутрішньогосподарський контроль [текст]: навч. посіб. /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В. Гуцаленко, М.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М. Коцупатрий, У.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О. Марчук. – К.: «Центр учбової літератури», 2014. – 496 с.</w:t>
      </w:r>
    </w:p>
    <w:p w:rsidR="008B667B" w:rsidRPr="00467E45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Замула І.В., </w:t>
      </w:r>
      <w:r w:rsidRPr="00381DC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Танасієва М.М.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Внутрішній контроль : навч. посіб. Чер</w:t>
      </w:r>
      <w:r w:rsidR="00467E45">
        <w:rPr>
          <w:rFonts w:ascii="Times New Roman" w:hAnsi="Times New Roman" w:cs="Times New Roman"/>
          <w:color w:val="000000"/>
          <w:sz w:val="24"/>
          <w:szCs w:val="24"/>
          <w:lang w:val="uk-UA"/>
        </w:rPr>
        <w:t>нівці : Технодрук, 2021. 336 с.</w:t>
      </w:r>
    </w:p>
    <w:p w:rsidR="00467E45" w:rsidRPr="00467E45" w:rsidRDefault="00467E45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7E45">
        <w:rPr>
          <w:rFonts w:ascii="Times New Roman" w:hAnsi="Times New Roman" w:cs="Times New Roman"/>
          <w:sz w:val="24"/>
          <w:szCs w:val="24"/>
        </w:rPr>
        <w:t>Кузь В.І. Податкова система: навч. посіб. Чернівці: Чернівец. нац. ун-т ім. Ю. Федьковича, 2022. 240 с.</w:t>
      </w:r>
    </w:p>
    <w:p w:rsidR="00467E45" w:rsidRPr="00467E45" w:rsidRDefault="00467E45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7E45">
        <w:rPr>
          <w:rFonts w:ascii="Times New Roman" w:hAnsi="Times New Roman" w:cs="Times New Roman"/>
          <w:sz w:val="24"/>
          <w:szCs w:val="24"/>
        </w:rPr>
        <w:t>Найденко О. Є. Податковий контроль : підручник / О. Є Найденко. – Х. : Вид. ХНЕУ, 2012. – 224 с.</w:t>
      </w:r>
    </w:p>
    <w:p w:rsid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sz w:val="24"/>
          <w:szCs w:val="24"/>
        </w:rPr>
        <w:t>Пантелеєв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П. Внутрішньогосподарський контроль: методологія та організація [Текст]: монографія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/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Пантелеєв; Державна академія статистики, обліку та аудиту. – К.: ДП «Інформ.-аналіт.агенство», 2008. – 491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с.</w:t>
      </w:r>
    </w:p>
    <w:p w:rsidR="008B667B" w:rsidRPr="00983E5A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Пашкевич М. С.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Контроль: незалежний, внутрішній, державний: навч. посіб. : у 2 ч.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Ч. 1. Незалежний аудиторський та внутрішньогосподарський контроль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[Електронний ресурс] / М.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С. Пашкевич, Н.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Л. Шишкова ; М-во освіти і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науки України, Нац. гірн. ун-т. – Електрон. текст. дані. – Дніпро : НГУ,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2017. – 182 с. – Режим доступу: http://nmu.org.ua </w:t>
      </w:r>
    </w:p>
    <w:p w:rsidR="00983E5A" w:rsidRPr="00983E5A" w:rsidRDefault="00983E5A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sz w:val="24"/>
          <w:szCs w:val="24"/>
        </w:rPr>
        <w:t>Пушкар М.С. Теорія пізнання в розвитку науки про контроль : монографія. Тернопіль:</w:t>
      </w:r>
    </w:p>
    <w:p w:rsidR="00983E5A" w:rsidRDefault="00983E5A" w:rsidP="00983E5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Карт-бланш, 2011. 140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83E5A">
        <w:rPr>
          <w:rFonts w:ascii="Times New Roman" w:eastAsiaTheme="minorHAnsi" w:hAnsi="Times New Roman" w:cs="Times New Roman"/>
          <w:sz w:val="24"/>
          <w:szCs w:val="24"/>
        </w:rPr>
        <w:t>Шпанковська Н. Г. Внутрішньогосподарський контроль: навчал. Посібник / Н. Г. Шпанковська, О. С. Білова, О. І. Канська. – Дніпропетровськ: НметАУ, 2012. – 154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Янчева Л. М. та ін. Внутрішньогосподарський контроль. Конспект лекцій (у структурно-логічних схемах) Задачі. Тести: навчальний посібник / Л. М. Янчева, Н. С. Акімова, Т. А. Наумова, А. О. Баранова, О. В. Топоркова, З. О. Макєєва, Н. С. Герасимова. Харківський державний університет харчування та торгівлі. – Харків. 2012. – 236 с.</w:t>
      </w:r>
    </w:p>
    <w:p w:rsidR="00175E87" w:rsidRDefault="00175E87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74B5A" w:rsidRDefault="00474B5A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6A1A" w:rsidRPr="00E96A1A" w:rsidRDefault="00E96A1A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96A1A">
        <w:rPr>
          <w:rFonts w:ascii="Times New Roman" w:hAnsi="Times New Roman" w:cs="Times New Roman"/>
          <w:b/>
          <w:sz w:val="24"/>
        </w:rPr>
        <w:t>7.2. Нормативна база</w:t>
      </w:r>
    </w:p>
    <w:p w:rsidR="00381DC0" w:rsidRPr="00381DC0" w:rsidRDefault="00381DC0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DC0">
        <w:rPr>
          <w:rFonts w:ascii="Times New Roman" w:hAnsi="Times New Roman" w:cs="Times New Roman"/>
          <w:sz w:val="24"/>
          <w:szCs w:val="24"/>
        </w:rPr>
        <w:t>Господарський кодекс України: № 436-IV від 16.01.2003 р. [Електронний ресурс]. – Режим доступу: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A29AE">
          <w:rPr>
            <w:rStyle w:val="a5"/>
            <w:rFonts w:ascii="Times New Roman" w:hAnsi="Times New Roman" w:cs="Times New Roman"/>
            <w:sz w:val="24"/>
            <w:szCs w:val="24"/>
          </w:rPr>
          <w:t>http://zakon3.rada.gov.ua/laws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Податковий кодекс України від 2.12.2010 р. №2755-VIю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B158C3">
        <w:rPr>
          <w:rFonts w:ascii="Times New Roman" w:hAnsi="Times New Roman" w:cs="Times New Roman"/>
          <w:sz w:val="24"/>
          <w:lang w:val="en-US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1" w:anchor="Text" w:history="1">
        <w:r w:rsidRPr="00C176B0">
          <w:rPr>
            <w:rStyle w:val="a5"/>
            <w:rFonts w:ascii="Times New Roman" w:hAnsi="Times New Roman" w:cs="Times New Roman"/>
            <w:sz w:val="24"/>
            <w:lang w:val="uk-UA"/>
          </w:rPr>
          <w:t>https://zakon.rada.gov.ua/laws/show/2755-17#Text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Положення (стандарти) бухгалтерського обліку 1-34.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2" w:history="1">
        <w:r w:rsidRPr="00C176B0">
          <w:rPr>
            <w:rStyle w:val="a5"/>
            <w:rFonts w:ascii="Times New Roman" w:hAnsi="Times New Roman" w:cs="Times New Roman"/>
            <w:sz w:val="24"/>
          </w:rPr>
          <w:t>http://vobu.ua/ukr/documents/accounting/item/natsionalni-polozhennya-standarti-bukhgalterskogo-obliku?app_id=24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>Про аудит фінансової звітності та аудиторську діяльність в Україні: Закон України від 21.12.2017 р. № 2258–</w:t>
      </w:r>
      <w:r w:rsidRPr="00C176B0">
        <w:rPr>
          <w:rFonts w:ascii="Times New Roman" w:hAnsi="Times New Roman" w:cs="Times New Roman"/>
          <w:sz w:val="24"/>
        </w:rPr>
        <w:t>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ІІІ.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 </w:t>
      </w:r>
      <w:hyperlink r:id="rId13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https://zakon.rada.gov.ua/laws/show/2258-19#Text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lastRenderedPageBreak/>
        <w:t>Про бухгалтерський облік та фінансову звітність в Україні: Закон України від 16.07.1999 р. №996–</w:t>
      </w:r>
      <w:r w:rsidRPr="00C176B0">
        <w:rPr>
          <w:rFonts w:ascii="Times New Roman" w:hAnsi="Times New Roman" w:cs="Times New Roman"/>
          <w:sz w:val="24"/>
        </w:rPr>
        <w:t>XIV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(зі змінами).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4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https://zakon.rada.gov.ua/laws/show/996-14#Text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8B667B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uk-UA"/>
        </w:rPr>
      </w:pP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Про збір та облік єдиного внеску на загальнообов’язкове державне соціальне страхування: Закон України від 08.07.2010 р. №2464-VІ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 </w:t>
      </w:r>
      <w:hyperlink r:id="rId15" w:anchor="Text" w:history="1">
        <w:r w:rsidRPr="00C176B0">
          <w:rPr>
            <w:rStyle w:val="a5"/>
            <w:rFonts w:ascii="Times New Roman" w:hAnsi="Times New Roman" w:cs="Times New Roman"/>
            <w:noProof/>
            <w:sz w:val="24"/>
            <w:lang w:val="uk-UA"/>
          </w:rPr>
          <w:t>https://zakon.rada.gov.ua/laws/show/2464-17#Text</w:t>
        </w:r>
      </w:hyperlink>
    </w:p>
    <w:p w:rsidR="00582960" w:rsidRPr="00E96A1A" w:rsidRDefault="00582960" w:rsidP="00E96A1A">
      <w:pPr>
        <w:widowControl w:val="0"/>
        <w:tabs>
          <w:tab w:val="left" w:pos="851"/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A1A" w:rsidRPr="00E96A1A" w:rsidRDefault="00E96A1A" w:rsidP="00E96A1A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</w:rPr>
      </w:pPr>
      <w:r w:rsidRPr="00E96A1A">
        <w:rPr>
          <w:rFonts w:ascii="Times New Roman" w:hAnsi="Times New Roman" w:cs="Times New Roman"/>
          <w:b/>
          <w:noProof/>
          <w:sz w:val="24"/>
        </w:rPr>
        <w:t>7.3. Інформаційні ресурси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Верховної ради: </w:t>
      </w:r>
      <w:hyperlink r:id="rId16" w:history="1">
        <w:r w:rsidRPr="00E96A1A">
          <w:rPr>
            <w:rStyle w:val="a5"/>
            <w:rFonts w:ascii="Times New Roman" w:hAnsi="Times New Roman" w:cs="Times New Roman"/>
            <w:sz w:val="24"/>
          </w:rPr>
          <w:t>https://zakon.rada.gov.ua/laws</w:t>
        </w:r>
      </w:hyperlink>
    </w:p>
    <w:p w:rsidR="00E96A1A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>
        <w:rPr>
          <w:rFonts w:ascii="Times New Roman" w:hAnsi="Times New Roman" w:cs="Times New Roman"/>
          <w:sz w:val="24"/>
        </w:rPr>
        <w:t>Сайт Міністерства ф</w:t>
      </w:r>
      <w:r w:rsidR="00E96A1A" w:rsidRPr="00E96A1A">
        <w:rPr>
          <w:rFonts w:ascii="Times New Roman" w:hAnsi="Times New Roman" w:cs="Times New Roman"/>
          <w:sz w:val="24"/>
        </w:rPr>
        <w:t xml:space="preserve">інансів України: </w:t>
      </w:r>
      <w:hyperlink r:id="rId17" w:history="1">
        <w:r w:rsidR="00E96A1A" w:rsidRPr="00E96A1A">
          <w:rPr>
            <w:rStyle w:val="a5"/>
            <w:rFonts w:ascii="Times New Roman" w:hAnsi="Times New Roman" w:cs="Times New Roman"/>
            <w:sz w:val="24"/>
          </w:rPr>
          <w:t>https://mof.gov.ua</w:t>
        </w:r>
      </w:hyperlink>
    </w:p>
    <w:p w:rsidR="00175E87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175E87">
        <w:rPr>
          <w:rFonts w:ascii="Times New Roman" w:hAnsi="Times New Roman" w:cs="Times New Roman"/>
          <w:sz w:val="24"/>
        </w:rPr>
        <w:t xml:space="preserve">Сайт Міністерства економіки України: </w:t>
      </w:r>
      <w:hyperlink r:id="rId18" w:history="1">
        <w:r w:rsidRPr="00175E87">
          <w:rPr>
            <w:rStyle w:val="a5"/>
            <w:rFonts w:ascii="Times New Roman" w:hAnsi="Times New Roman" w:cs="Times New Roman"/>
            <w:sz w:val="24"/>
          </w:rPr>
          <w:t>https://www.me.gov.ua</w:t>
        </w:r>
      </w:hyperlink>
      <w:r w:rsidRPr="00175E87">
        <w:rPr>
          <w:rFonts w:ascii="Times New Roman" w:hAnsi="Times New Roman" w:cs="Times New Roman"/>
          <w:sz w:val="24"/>
        </w:rPr>
        <w:t xml:space="preserve"> 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податкової служби України: </w:t>
      </w:r>
      <w:hyperlink r:id="rId19" w:history="1">
        <w:r w:rsidRPr="00E96A1A">
          <w:rPr>
            <w:rStyle w:val="a5"/>
            <w:rFonts w:ascii="Times New Roman" w:hAnsi="Times New Roman" w:cs="Times New Roman"/>
            <w:sz w:val="24"/>
          </w:rPr>
          <w:t>http://</w:t>
        </w:r>
        <w:r w:rsidRPr="00E96A1A">
          <w:rPr>
            <w:rStyle w:val="a5"/>
            <w:rFonts w:ascii="Times New Roman" w:hAnsi="Times New Roman" w:cs="Times New Roman"/>
            <w:sz w:val="24"/>
            <w:lang w:val="en-US"/>
          </w:rPr>
          <w:t>tax</w:t>
        </w:r>
        <w:r w:rsidRPr="00E96A1A">
          <w:rPr>
            <w:rStyle w:val="a5"/>
            <w:rFonts w:ascii="Times New Roman" w:hAnsi="Times New Roman" w:cs="Times New Roman"/>
            <w:sz w:val="24"/>
          </w:rPr>
          <w:t>.gov.ua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Аудиторської служби України: </w:t>
      </w:r>
      <w:hyperlink r:id="rId20" w:history="1">
        <w:r w:rsidRPr="00E96A1A">
          <w:rPr>
            <w:rStyle w:val="a5"/>
            <w:rFonts w:ascii="Times New Roman" w:hAnsi="Times New Roman" w:cs="Times New Roman"/>
            <w:sz w:val="24"/>
          </w:rPr>
          <w:t>http://www.dkrs.gov.ua/kru/uk/index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Аудиторської Палати України: </w:t>
      </w:r>
      <w:hyperlink r:id="rId21" w:history="1">
        <w:r w:rsidRPr="00E96A1A">
          <w:rPr>
            <w:rStyle w:val="a5"/>
            <w:rFonts w:ascii="Times New Roman" w:hAnsi="Times New Roman" w:cs="Times New Roman"/>
            <w:sz w:val="24"/>
          </w:rPr>
          <w:t>https://www.apu.com.ua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</w:t>
      </w:r>
      <w:r w:rsidRPr="00E96A1A">
        <w:rPr>
          <w:rFonts w:ascii="Times New Roman" w:hAnsi="Times New Roman" w:cs="Times New Roman"/>
          <w:color w:val="000000"/>
          <w:sz w:val="24"/>
        </w:rPr>
        <w:t>статистичної звітності емітентів України</w:t>
      </w:r>
      <w:r w:rsidRPr="00E96A1A">
        <w:rPr>
          <w:rFonts w:ascii="Times New Roman" w:hAnsi="Times New Roman" w:cs="Times New Roman"/>
          <w:sz w:val="24"/>
        </w:rPr>
        <w:t>: https://</w:t>
      </w:r>
      <w:hyperlink r:id="rId22" w:history="1">
        <w:r w:rsidRPr="00E96A1A">
          <w:rPr>
            <w:rStyle w:val="a5"/>
            <w:rFonts w:ascii="Times New Roman" w:hAnsi="Times New Roman" w:cs="Times New Roman"/>
            <w:sz w:val="24"/>
          </w:rPr>
          <w:t>www.smida.gov.ua/db/emitent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Міжнародної Федерації Бухгалтерів (МФБ):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3" w:history="1">
        <w:r w:rsidRPr="00E96A1A">
          <w:rPr>
            <w:rStyle w:val="a5"/>
            <w:rFonts w:ascii="Times New Roman" w:hAnsi="Times New Roman" w:cs="Times New Roman"/>
            <w:sz w:val="24"/>
          </w:rPr>
          <w:t>www.ifac.org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Асоціації дипломованих сертифікованих бухгалтерів (АССА):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4" w:history="1">
        <w:r w:rsidRPr="00E96A1A">
          <w:rPr>
            <w:rStyle w:val="a5"/>
            <w:rFonts w:ascii="Times New Roman" w:hAnsi="Times New Roman" w:cs="Times New Roman"/>
            <w:sz w:val="24"/>
          </w:rPr>
          <w:t>www.accaglobal.com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E96A1A">
        <w:rPr>
          <w:rFonts w:ascii="Times New Roman" w:hAnsi="Times New Roman" w:cs="Times New Roman"/>
          <w:sz w:val="24"/>
        </w:rPr>
        <w:t>Сайт Американського інституту дипломованих громадських бухгалтерів (АІ</w:t>
      </w:r>
      <w:r w:rsidRPr="00E96A1A">
        <w:rPr>
          <w:rFonts w:ascii="Times New Roman" w:hAnsi="Times New Roman" w:cs="Times New Roman"/>
          <w:sz w:val="24"/>
          <w:lang w:val="en-US"/>
        </w:rPr>
        <w:t>S</w:t>
      </w:r>
      <w:r w:rsidRPr="00E96A1A">
        <w:rPr>
          <w:rFonts w:ascii="Times New Roman" w:hAnsi="Times New Roman" w:cs="Times New Roman"/>
          <w:sz w:val="24"/>
        </w:rPr>
        <w:t>РА):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5" w:history="1">
        <w:r w:rsidRPr="00E96A1A">
          <w:rPr>
            <w:rStyle w:val="a5"/>
            <w:rFonts w:ascii="Times New Roman" w:hAnsi="Times New Roman" w:cs="Times New Roman"/>
            <w:sz w:val="24"/>
          </w:rPr>
          <w:t>www.aicpa.org</w:t>
        </w:r>
      </w:hyperlink>
    </w:p>
    <w:p w:rsidR="00B67490" w:rsidRPr="000255D3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7490" w:rsidRPr="00E96A1A">
        <w:rPr>
          <w:rFonts w:ascii="Times New Roman" w:hAnsi="Times New Roman" w:cs="Times New Roman"/>
          <w:sz w:val="24"/>
          <w:szCs w:val="24"/>
        </w:rPr>
        <w:t xml:space="preserve">айт Національної бібліотеки України ім. В.І. Вернадського. URL: </w:t>
      </w:r>
      <w:hyperlink r:id="rId26" w:history="1">
        <w:r w:rsidRPr="0052561A">
          <w:rPr>
            <w:rStyle w:val="a5"/>
            <w:rFonts w:ascii="Times New Roman" w:hAnsi="Times New Roman" w:cs="Times New Roman"/>
            <w:sz w:val="24"/>
            <w:szCs w:val="24"/>
          </w:rPr>
          <w:t>www.nbuv.gov.ua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E87" w:rsidRPr="008B667B" w:rsidRDefault="00175E87" w:rsidP="00983E5A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Сайт національної бібліотеки</w:t>
      </w:r>
      <w:r w:rsidR="000255D3" w:rsidRPr="008B667B">
        <w:rPr>
          <w:rFonts w:ascii="Times New Roman" w:hAnsi="Times New Roman" w:cs="Times New Roman"/>
          <w:sz w:val="24"/>
          <w:szCs w:val="24"/>
        </w:rPr>
        <w:t xml:space="preserve"> України імені Я. Мудрого: </w:t>
      </w:r>
      <w:hyperlink r:id="rId27" w:history="1">
        <w:r w:rsidR="000255D3" w:rsidRPr="008B667B">
          <w:rPr>
            <w:rStyle w:val="a5"/>
            <w:rFonts w:ascii="Times New Roman" w:hAnsi="Times New Roman" w:cs="Times New Roman"/>
            <w:sz w:val="24"/>
            <w:szCs w:val="24"/>
          </w:rPr>
          <w:t>https://nlu.org.ua</w:t>
        </w:r>
      </w:hyperlink>
      <w:r w:rsidR="000255D3" w:rsidRPr="008B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 сайт @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Risk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28" w:anchor="understand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palisade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/#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understand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Офіційний сайт 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Analytica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29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lumina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ModelRisk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hyperlink r:id="rId30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vosesoftware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products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Simulator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31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realoptionsvaluation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simulator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RiskyProject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32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intaver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D198F" w:rsidRPr="00983E5A" w:rsidRDefault="008B667B" w:rsidP="00983E5A">
      <w:pPr>
        <w:pStyle w:val="a4"/>
        <w:widowControl w:val="0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  <w:tab w:val="left" w:pos="851"/>
          <w:tab w:val="left" w:pos="98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SIPmath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вебсайт. </w:t>
      </w:r>
      <w:hyperlink r:id="rId33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probabilitymanagement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org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sipmath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modeler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tools</w:t>
        </w:r>
      </w:hyperlink>
    </w:p>
    <w:p w:rsidR="006D198F" w:rsidRDefault="006D198F" w:rsidP="00983E5A">
      <w:pPr>
        <w:widowControl w:val="0"/>
        <w:tabs>
          <w:tab w:val="left" w:pos="0"/>
          <w:tab w:val="left" w:pos="426"/>
          <w:tab w:val="left" w:pos="567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98F" w:rsidRPr="006D198F" w:rsidRDefault="006D198F" w:rsidP="006D198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D198F" w:rsidRPr="006D198F" w:rsidSect="004A47B4">
      <w:head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83" w:rsidRDefault="00B03283" w:rsidP="004A47B4">
      <w:pPr>
        <w:spacing w:after="0" w:line="240" w:lineRule="auto"/>
      </w:pPr>
      <w:r>
        <w:separator/>
      </w:r>
    </w:p>
  </w:endnote>
  <w:endnote w:type="continuationSeparator" w:id="0">
    <w:p w:rsidR="00B03283" w:rsidRDefault="00B03283" w:rsidP="004A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83" w:rsidRDefault="00B03283" w:rsidP="004A47B4">
      <w:pPr>
        <w:spacing w:after="0" w:line="240" w:lineRule="auto"/>
      </w:pPr>
      <w:r>
        <w:separator/>
      </w:r>
    </w:p>
  </w:footnote>
  <w:footnote w:type="continuationSeparator" w:id="0">
    <w:p w:rsidR="00B03283" w:rsidRDefault="00B03283" w:rsidP="004A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91273"/>
      <w:docPartObj>
        <w:docPartGallery w:val="Page Numbers (Top of Page)"/>
        <w:docPartUnique/>
      </w:docPartObj>
    </w:sdtPr>
    <w:sdtEndPr/>
    <w:sdtContent>
      <w:p w:rsidR="000E4DFD" w:rsidRDefault="000E4D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119" w:rsidRPr="00427119">
          <w:rPr>
            <w:noProof/>
            <w:lang w:val="ru-RU"/>
          </w:rPr>
          <w:t>7</w:t>
        </w:r>
        <w:r>
          <w:fldChar w:fldCharType="end"/>
        </w:r>
      </w:p>
    </w:sdtContent>
  </w:sdt>
  <w:p w:rsidR="000E4DFD" w:rsidRDefault="000E4D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BF"/>
    <w:multiLevelType w:val="hybridMultilevel"/>
    <w:tmpl w:val="E98E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98E"/>
    <w:multiLevelType w:val="hybridMultilevel"/>
    <w:tmpl w:val="4D4482CA"/>
    <w:lvl w:ilvl="0" w:tplc="A488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70669C"/>
    <w:multiLevelType w:val="hybridMultilevel"/>
    <w:tmpl w:val="60B2F38A"/>
    <w:lvl w:ilvl="0" w:tplc="0E18FF28">
      <w:start w:val="1"/>
      <w:numFmt w:val="bullet"/>
      <w:lvlText w:val=""/>
      <w:lvlJc w:val="left"/>
      <w:pPr>
        <w:tabs>
          <w:tab w:val="num" w:pos="31680"/>
        </w:tabs>
        <w:ind w:left="-360" w:firstLine="720"/>
      </w:pPr>
      <w:rPr>
        <w:rFonts w:ascii="Symbol" w:hAnsi="Symbol" w:hint="default"/>
      </w:rPr>
    </w:lvl>
    <w:lvl w:ilvl="1" w:tplc="044C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2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A1B60B4"/>
    <w:multiLevelType w:val="hybridMultilevel"/>
    <w:tmpl w:val="49E065D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235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17BC3425"/>
    <w:multiLevelType w:val="hybridMultilevel"/>
    <w:tmpl w:val="9C084568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A81401"/>
    <w:multiLevelType w:val="hybridMultilevel"/>
    <w:tmpl w:val="3EA6E8CE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44FA"/>
    <w:multiLevelType w:val="hybridMultilevel"/>
    <w:tmpl w:val="D4EA9102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1336"/>
    <w:multiLevelType w:val="hybridMultilevel"/>
    <w:tmpl w:val="527A964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6C5699"/>
    <w:multiLevelType w:val="hybridMultilevel"/>
    <w:tmpl w:val="E8CA429E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B34AE1"/>
    <w:multiLevelType w:val="hybridMultilevel"/>
    <w:tmpl w:val="3AF8B84A"/>
    <w:lvl w:ilvl="0" w:tplc="EEA27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3223B"/>
    <w:multiLevelType w:val="hybridMultilevel"/>
    <w:tmpl w:val="B122D6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EF3EB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825AC0"/>
    <w:multiLevelType w:val="hybridMultilevel"/>
    <w:tmpl w:val="868AD4BC"/>
    <w:lvl w:ilvl="0" w:tplc="F6B667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EA6A3A"/>
    <w:multiLevelType w:val="hybridMultilevel"/>
    <w:tmpl w:val="4DE8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612B"/>
    <w:multiLevelType w:val="hybridMultilevel"/>
    <w:tmpl w:val="D2523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7736B5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71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1" w15:restartNumberingAfterBreak="0">
    <w:nsid w:val="6C0A0CEF"/>
    <w:multiLevelType w:val="hybridMultilevel"/>
    <w:tmpl w:val="BB2C27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CE722AA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F02A6"/>
    <w:multiLevelType w:val="hybridMultilevel"/>
    <w:tmpl w:val="5B4C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E5F56A3"/>
    <w:multiLevelType w:val="hybridMultilevel"/>
    <w:tmpl w:val="FB467A5A"/>
    <w:lvl w:ilvl="0" w:tplc="0E18FF28">
      <w:start w:val="1"/>
      <w:numFmt w:val="bullet"/>
      <w:lvlText w:val=""/>
      <w:lvlJc w:val="left"/>
      <w:pPr>
        <w:tabs>
          <w:tab w:val="num" w:pos="-31680"/>
        </w:tabs>
        <w:ind w:left="709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5"/>
  </w:num>
  <w:num w:numId="5">
    <w:abstractNumId w:val="6"/>
  </w:num>
  <w:num w:numId="6">
    <w:abstractNumId w:val="16"/>
  </w:num>
  <w:num w:numId="7">
    <w:abstractNumId w:val="9"/>
  </w:num>
  <w:num w:numId="8">
    <w:abstractNumId w:val="25"/>
  </w:num>
  <w:num w:numId="9">
    <w:abstractNumId w:val="1"/>
  </w:num>
  <w:num w:numId="10">
    <w:abstractNumId w:val="11"/>
  </w:num>
  <w:num w:numId="11">
    <w:abstractNumId w:val="2"/>
  </w:num>
  <w:num w:numId="12">
    <w:abstractNumId w:val="18"/>
  </w:num>
  <w:num w:numId="13">
    <w:abstractNumId w:val="5"/>
  </w:num>
  <w:num w:numId="14">
    <w:abstractNumId w:val="3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22"/>
  </w:num>
  <w:num w:numId="24">
    <w:abstractNumId w:val="0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65"/>
    <w:rsid w:val="00004741"/>
    <w:rsid w:val="000121EA"/>
    <w:rsid w:val="00020A42"/>
    <w:rsid w:val="000255D3"/>
    <w:rsid w:val="000367BD"/>
    <w:rsid w:val="00041BCB"/>
    <w:rsid w:val="000468FF"/>
    <w:rsid w:val="00056DE6"/>
    <w:rsid w:val="00060211"/>
    <w:rsid w:val="000856E4"/>
    <w:rsid w:val="0009372A"/>
    <w:rsid w:val="00095535"/>
    <w:rsid w:val="000A48AF"/>
    <w:rsid w:val="000C4629"/>
    <w:rsid w:val="000D3878"/>
    <w:rsid w:val="000E423C"/>
    <w:rsid w:val="000E4DFD"/>
    <w:rsid w:val="000E6FA3"/>
    <w:rsid w:val="000E7D0A"/>
    <w:rsid w:val="000F544C"/>
    <w:rsid w:val="000F6284"/>
    <w:rsid w:val="00117119"/>
    <w:rsid w:val="001240AA"/>
    <w:rsid w:val="001407AB"/>
    <w:rsid w:val="00146299"/>
    <w:rsid w:val="00146875"/>
    <w:rsid w:val="0015368B"/>
    <w:rsid w:val="0015371E"/>
    <w:rsid w:val="0016147B"/>
    <w:rsid w:val="00173954"/>
    <w:rsid w:val="00175E87"/>
    <w:rsid w:val="00180299"/>
    <w:rsid w:val="00184286"/>
    <w:rsid w:val="00184BE5"/>
    <w:rsid w:val="001C0C25"/>
    <w:rsid w:val="001D3610"/>
    <w:rsid w:val="002043C5"/>
    <w:rsid w:val="00223EE4"/>
    <w:rsid w:val="0027260E"/>
    <w:rsid w:val="00280ED3"/>
    <w:rsid w:val="00283DFE"/>
    <w:rsid w:val="0028796E"/>
    <w:rsid w:val="002A263E"/>
    <w:rsid w:val="002B329B"/>
    <w:rsid w:val="002C065D"/>
    <w:rsid w:val="002C2477"/>
    <w:rsid w:val="002D32F6"/>
    <w:rsid w:val="002D3BC8"/>
    <w:rsid w:val="002F1E0B"/>
    <w:rsid w:val="002F3B31"/>
    <w:rsid w:val="00305054"/>
    <w:rsid w:val="00312A6A"/>
    <w:rsid w:val="0032519C"/>
    <w:rsid w:val="0034680B"/>
    <w:rsid w:val="00360FEE"/>
    <w:rsid w:val="00373F13"/>
    <w:rsid w:val="0037738C"/>
    <w:rsid w:val="00381DC0"/>
    <w:rsid w:val="003C47A3"/>
    <w:rsid w:val="003F0069"/>
    <w:rsid w:val="0042118E"/>
    <w:rsid w:val="00426D91"/>
    <w:rsid w:val="00427119"/>
    <w:rsid w:val="00442C07"/>
    <w:rsid w:val="004566FA"/>
    <w:rsid w:val="00467E45"/>
    <w:rsid w:val="00474B5A"/>
    <w:rsid w:val="00484C6E"/>
    <w:rsid w:val="004A47B4"/>
    <w:rsid w:val="004A4ACA"/>
    <w:rsid w:val="004A78EB"/>
    <w:rsid w:val="004D04CD"/>
    <w:rsid w:val="004D60D2"/>
    <w:rsid w:val="005057C3"/>
    <w:rsid w:val="00505F15"/>
    <w:rsid w:val="00512360"/>
    <w:rsid w:val="00515CC0"/>
    <w:rsid w:val="0054385F"/>
    <w:rsid w:val="00547277"/>
    <w:rsid w:val="00556946"/>
    <w:rsid w:val="00563379"/>
    <w:rsid w:val="005662DC"/>
    <w:rsid w:val="00582960"/>
    <w:rsid w:val="00587B65"/>
    <w:rsid w:val="005C6DCD"/>
    <w:rsid w:val="005E29FE"/>
    <w:rsid w:val="005E67FF"/>
    <w:rsid w:val="005F39C8"/>
    <w:rsid w:val="005F4BED"/>
    <w:rsid w:val="005F53BB"/>
    <w:rsid w:val="006029D3"/>
    <w:rsid w:val="00616865"/>
    <w:rsid w:val="006260CB"/>
    <w:rsid w:val="00643B0F"/>
    <w:rsid w:val="0066177D"/>
    <w:rsid w:val="00664021"/>
    <w:rsid w:val="0067602D"/>
    <w:rsid w:val="00696FC5"/>
    <w:rsid w:val="006A5092"/>
    <w:rsid w:val="006C0E0D"/>
    <w:rsid w:val="006C3E52"/>
    <w:rsid w:val="006D198F"/>
    <w:rsid w:val="006E72F5"/>
    <w:rsid w:val="0071492F"/>
    <w:rsid w:val="00736420"/>
    <w:rsid w:val="007566DE"/>
    <w:rsid w:val="0079705C"/>
    <w:rsid w:val="007A4F54"/>
    <w:rsid w:val="007C09C1"/>
    <w:rsid w:val="007C4A55"/>
    <w:rsid w:val="007C4CC5"/>
    <w:rsid w:val="007D5BA5"/>
    <w:rsid w:val="007D5CCD"/>
    <w:rsid w:val="007D73E6"/>
    <w:rsid w:val="007E224C"/>
    <w:rsid w:val="007E4218"/>
    <w:rsid w:val="007E4E3E"/>
    <w:rsid w:val="008059A3"/>
    <w:rsid w:val="00810D45"/>
    <w:rsid w:val="008176A0"/>
    <w:rsid w:val="0082544C"/>
    <w:rsid w:val="00854C3F"/>
    <w:rsid w:val="00865472"/>
    <w:rsid w:val="00871DED"/>
    <w:rsid w:val="0087556B"/>
    <w:rsid w:val="00892BC4"/>
    <w:rsid w:val="008A1EFB"/>
    <w:rsid w:val="008B154E"/>
    <w:rsid w:val="008B667B"/>
    <w:rsid w:val="008E13EC"/>
    <w:rsid w:val="008F32E8"/>
    <w:rsid w:val="00905322"/>
    <w:rsid w:val="00915D04"/>
    <w:rsid w:val="00917844"/>
    <w:rsid w:val="00932071"/>
    <w:rsid w:val="0093516E"/>
    <w:rsid w:val="00965931"/>
    <w:rsid w:val="00973168"/>
    <w:rsid w:val="00983E5A"/>
    <w:rsid w:val="009869D8"/>
    <w:rsid w:val="009D5E76"/>
    <w:rsid w:val="00A001DC"/>
    <w:rsid w:val="00A02E7B"/>
    <w:rsid w:val="00A20CD6"/>
    <w:rsid w:val="00A60097"/>
    <w:rsid w:val="00A67B4A"/>
    <w:rsid w:val="00AA06FC"/>
    <w:rsid w:val="00AA20D7"/>
    <w:rsid w:val="00AC4C21"/>
    <w:rsid w:val="00AE0860"/>
    <w:rsid w:val="00AE178C"/>
    <w:rsid w:val="00AE1884"/>
    <w:rsid w:val="00B03283"/>
    <w:rsid w:val="00B158C3"/>
    <w:rsid w:val="00B26631"/>
    <w:rsid w:val="00B44D3B"/>
    <w:rsid w:val="00B500E0"/>
    <w:rsid w:val="00B5358D"/>
    <w:rsid w:val="00B54F56"/>
    <w:rsid w:val="00B67490"/>
    <w:rsid w:val="00B7304F"/>
    <w:rsid w:val="00BD09A4"/>
    <w:rsid w:val="00C176B0"/>
    <w:rsid w:val="00C35002"/>
    <w:rsid w:val="00C526CB"/>
    <w:rsid w:val="00C54954"/>
    <w:rsid w:val="00C754FF"/>
    <w:rsid w:val="00C77D13"/>
    <w:rsid w:val="00C95C47"/>
    <w:rsid w:val="00CB2FCE"/>
    <w:rsid w:val="00CF27D6"/>
    <w:rsid w:val="00D0051A"/>
    <w:rsid w:val="00D0062B"/>
    <w:rsid w:val="00D31C6B"/>
    <w:rsid w:val="00DA1CE4"/>
    <w:rsid w:val="00DA25E3"/>
    <w:rsid w:val="00DA739F"/>
    <w:rsid w:val="00DE6B59"/>
    <w:rsid w:val="00DF37C1"/>
    <w:rsid w:val="00DF5E11"/>
    <w:rsid w:val="00E13771"/>
    <w:rsid w:val="00E2544F"/>
    <w:rsid w:val="00E2628F"/>
    <w:rsid w:val="00E4709F"/>
    <w:rsid w:val="00E51060"/>
    <w:rsid w:val="00E6060C"/>
    <w:rsid w:val="00E6469D"/>
    <w:rsid w:val="00E74ABE"/>
    <w:rsid w:val="00E82E19"/>
    <w:rsid w:val="00E96A1A"/>
    <w:rsid w:val="00EA18A8"/>
    <w:rsid w:val="00EA1BE1"/>
    <w:rsid w:val="00EA3533"/>
    <w:rsid w:val="00EB57B1"/>
    <w:rsid w:val="00EC3E7A"/>
    <w:rsid w:val="00ED3F82"/>
    <w:rsid w:val="00EE00E6"/>
    <w:rsid w:val="00EE0ED7"/>
    <w:rsid w:val="00EE2923"/>
    <w:rsid w:val="00F03DD4"/>
    <w:rsid w:val="00F12DE5"/>
    <w:rsid w:val="00F3108D"/>
    <w:rsid w:val="00F44098"/>
    <w:rsid w:val="00F60DD1"/>
    <w:rsid w:val="00F76227"/>
    <w:rsid w:val="00F8598F"/>
    <w:rsid w:val="00F93A7E"/>
    <w:rsid w:val="00F93F14"/>
    <w:rsid w:val="00F9775C"/>
    <w:rsid w:val="00FB38DF"/>
    <w:rsid w:val="00FB6A85"/>
    <w:rsid w:val="00FC60C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F5F7"/>
  <w15:docId w15:val="{39FA06B4-C4C2-4E70-A69C-1322A661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5829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8059A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674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12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1240AA"/>
    <w:rPr>
      <w:b/>
      <w:bCs/>
    </w:rPr>
  </w:style>
  <w:style w:type="paragraph" w:customStyle="1" w:styleId="Default">
    <w:name w:val="Default"/>
    <w:rsid w:val="00871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Заголовок №1"/>
    <w:basedOn w:val="a0"/>
    <w:rsid w:val="00871DE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8">
    <w:name w:val="Основной текст_"/>
    <w:basedOn w:val="a0"/>
    <w:link w:val="11"/>
    <w:locked/>
    <w:rsid w:val="00871DED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8"/>
    <w:rsid w:val="00871DED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871DED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71DE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Основной текст1"/>
    <w:basedOn w:val="a"/>
    <w:rsid w:val="00871DED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shd w:val="clear" w:color="auto" w:fill="FFFFFF"/>
      <w:lang w:eastAsia="uk-UA"/>
    </w:rPr>
  </w:style>
  <w:style w:type="paragraph" w:customStyle="1" w:styleId="12">
    <w:name w:val="Абзац списка1"/>
    <w:basedOn w:val="a"/>
    <w:rsid w:val="0009372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A67B4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A67B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47B4"/>
  </w:style>
  <w:style w:type="paragraph" w:styleId="ad">
    <w:name w:val="footer"/>
    <w:basedOn w:val="a"/>
    <w:link w:val="ae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47B4"/>
  </w:style>
  <w:style w:type="paragraph" w:styleId="af">
    <w:name w:val="Body Text"/>
    <w:basedOn w:val="a"/>
    <w:link w:val="af0"/>
    <w:rsid w:val="004A47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4A47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983E5A"/>
    <w:rPr>
      <w:color w:val="954F72" w:themeColor="followedHyperlink"/>
      <w:u w:val="single"/>
    </w:rPr>
  </w:style>
  <w:style w:type="paragraph" w:customStyle="1" w:styleId="21">
    <w:name w:val="Абзац списка2"/>
    <w:basedOn w:val="a"/>
    <w:rsid w:val="00B730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27260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7260E"/>
    <w:pPr>
      <w:widowControl w:val="0"/>
      <w:shd w:val="clear" w:color="auto" w:fill="FFFFFF"/>
      <w:spacing w:before="420" w:after="0" w:line="475" w:lineRule="exact"/>
      <w:ind w:firstLine="74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obliku-analizu-i-audytu/kolektyv-kafedry/tanasiyeva-maryna-mykolayivna" TargetMode="External"/><Relationship Id="rId13" Type="http://schemas.openxmlformats.org/officeDocument/2006/relationships/hyperlink" Target="https://zakon.rada.gov.ua/laws/show/2258-19" TargetMode="External"/><Relationship Id="rId18" Type="http://schemas.openxmlformats.org/officeDocument/2006/relationships/hyperlink" Target="https://www.me.gov.ua" TargetMode="External"/><Relationship Id="rId26" Type="http://schemas.openxmlformats.org/officeDocument/2006/relationships/hyperlink" Target="http://www.nbuv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pu.com.ua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vobu.ua/ukr/documents/accounting/item/natsionalni-polozhennya-standarti-bukhgalterskogo-obliku?app_id=24" TargetMode="External"/><Relationship Id="rId17" Type="http://schemas.openxmlformats.org/officeDocument/2006/relationships/hyperlink" Target="https://mof.gov.ua" TargetMode="External"/><Relationship Id="rId25" Type="http://schemas.openxmlformats.org/officeDocument/2006/relationships/hyperlink" Target="http://www.aicpa.org" TargetMode="External"/><Relationship Id="rId33" Type="http://schemas.openxmlformats.org/officeDocument/2006/relationships/hyperlink" Target="URL:https://www.probabilitymanagement.org/sipmath-modeler-too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" TargetMode="External"/><Relationship Id="rId20" Type="http://schemas.openxmlformats.org/officeDocument/2006/relationships/hyperlink" Target="http://www.dkrs.gov.ua/kru/uk/index" TargetMode="External"/><Relationship Id="rId29" Type="http://schemas.openxmlformats.org/officeDocument/2006/relationships/hyperlink" Target="https://lumin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755-17" TargetMode="External"/><Relationship Id="rId24" Type="http://schemas.openxmlformats.org/officeDocument/2006/relationships/hyperlink" Target="http://www.accaglobal.com" TargetMode="External"/><Relationship Id="rId32" Type="http://schemas.openxmlformats.org/officeDocument/2006/relationships/hyperlink" Target="https://intav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464-17" TargetMode="External"/><Relationship Id="rId23" Type="http://schemas.openxmlformats.org/officeDocument/2006/relationships/hyperlink" Target="http://www.ifac.org/" TargetMode="External"/><Relationship Id="rId28" Type="http://schemas.openxmlformats.org/officeDocument/2006/relationships/hyperlink" Target="https://www.palisade.com/ris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zakon3.rada.gov.ua/laws" TargetMode="External"/><Relationship Id="rId19" Type="http://schemas.openxmlformats.org/officeDocument/2006/relationships/hyperlink" Target="http://tax.gov.ua" TargetMode="External"/><Relationship Id="rId31" Type="http://schemas.openxmlformats.org/officeDocument/2006/relationships/hyperlink" Target="https://www.realoptionsvaluation.com/risk-simulato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s://zakon.rada.gov.ua/laws/show/996-14" TargetMode="External"/><Relationship Id="rId22" Type="http://schemas.openxmlformats.org/officeDocument/2006/relationships/hyperlink" Target="http://www.smida.gov.ua/db/emitent" TargetMode="External"/><Relationship Id="rId27" Type="http://schemas.openxmlformats.org/officeDocument/2006/relationships/hyperlink" Target="https://nlu.org.ua" TargetMode="External"/><Relationship Id="rId30" Type="http://schemas.openxmlformats.org/officeDocument/2006/relationships/hyperlink" Target="URL:https://www.vosesoftware.com/products/modelris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C73C-5A17-44BC-A1CF-BE297137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2022-09-12T10:40:00Z</cp:lastPrinted>
  <dcterms:created xsi:type="dcterms:W3CDTF">2022-09-12T10:39:00Z</dcterms:created>
  <dcterms:modified xsi:type="dcterms:W3CDTF">2023-03-16T17:20:00Z</dcterms:modified>
</cp:coreProperties>
</file>