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3"/>
        <w:jc w:val="center"/>
        <w:rPr>
          <w:color w:val="632423"/>
          <w:sz w:val="28"/>
          <w:szCs w:val="28"/>
        </w:rPr>
      </w:pP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«КОРПОРАТИВНІ ФІНАНСИ»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–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вибіркова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(3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кредити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9"/>
        <w:gridCol w:w="5775"/>
        <w:tblGridChange w:id="0">
          <w:tblGrid>
            <w:gridCol w:w="3799"/>
            <w:gridCol w:w="5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072 Фінанси, банківська справа та страхування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 Управління та адміністрування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Профайл викладача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(-ів)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Ковальчук Наталя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кандидат економічних наук, доцент, асистент кафедри фінансів і кредиту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https://finance.chnu.edu.ua/nasha-kafedra/kolektyv/kovalchuk-natalia-oleksandrivna/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+380952124252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n.kovalchuk@chnu.edu.ua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https://moodle.chnu.edu.ua/course/view.php?id=42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четвер з 13.00 до 14.00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0" w:right="3" w:firstLine="0"/>
        <w:rPr>
          <w:color w:val="632423"/>
        </w:rPr>
      </w:pPr>
      <w:r w:rsidDel="00000000" w:rsidR="00000000" w:rsidRPr="00000000">
        <w:rPr>
          <w:color w:val="632423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E">
      <w:pPr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Навчальна дисципліна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«Корпоративні фінанси»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спрямована на поглиблення теоретичних знань і практичних навичок здобувачів вищої освіти щодо створення корпорацій, їх діяльності на фінансовому ринку, організації фінансового менеджменту корпорацій, оцінки вартості та оптимізації структури капіталу, а також інвестиційної діяльності корпорацій.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Отримані знання щодо особливостей фінансово-господарської діяльності корпорацій студенти зможуть застосовувати у своїй подальшій професійній діяльності.</w:t>
      </w:r>
    </w:p>
    <w:p w:rsidR="00000000" w:rsidDel="00000000" w:rsidP="00000000" w:rsidRDefault="00000000" w:rsidRPr="00000000" w14:paraId="0000001F">
      <w:pPr>
        <w:ind w:firstLine="709"/>
        <w:jc w:val="both"/>
        <w:rPr>
          <w:sz w:val="24"/>
          <w:szCs w:val="24"/>
        </w:rPr>
      </w:pPr>
      <w:bookmarkStart w:colFirst="0" w:colLast="0" w:name="_heading=h.e7bovu6qpqtw" w:id="0"/>
      <w:bookmarkEnd w:id="0"/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Мета навчальної дисципліни:</w:t>
      </w:r>
      <w:r w:rsidDel="00000000" w:rsidR="00000000" w:rsidRPr="00000000">
        <w:rPr>
          <w:sz w:val="24"/>
          <w:szCs w:val="24"/>
          <w:rtl w:val="0"/>
        </w:rPr>
        <w:t xml:space="preserve"> поглиблення та систематизація знань, а також посилення практичних навичок здобувачів з особливостей організації і функціонування корпорацій, їх діяльності на фінансовому ринку, фінансового менеджменту, управління та оцінки вартості і структури капіталу корпорацій, а також особливостей корпоративного інвестування.</w:t>
      </w:r>
    </w:p>
    <w:p w:rsidR="00000000" w:rsidDel="00000000" w:rsidP="00000000" w:rsidRDefault="00000000" w:rsidRPr="00000000" w14:paraId="00000020">
      <w:pPr>
        <w:ind w:firstLine="709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Дисципліни, обов'язкові для вивчення здобувачем вищої освіти до початку роботи над курсом «Корпоративні фінанси», - це «Фінанси», «Фінанси підприємств», «Фінансовий аналіз».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3" w:firstLine="567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95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8473"/>
        <w:tblGridChange w:id="0">
          <w:tblGrid>
            <w:gridCol w:w="1101"/>
            <w:gridCol w:w="84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1. ОСОБЛИВОСТІ ОРГАНІЗАЦІЇ ТА ФУНКЦІОНУВАННЯ КОРПОРАЦІЙ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Основи функціонування корпоративних фінансів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Діяльність корпорацій на фінансовому ринку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180" w:hanging="180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Фінансовий менеджмент корпорацій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МОДУЛЬ 2. ВАРТІСТЬ ТА УПРАВЛІННЯ КАПІТАЛОМ КОРПОРАЦІЙ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Вартість та структура капіталу корпорації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180" w:hanging="180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Управління капіталом корпорації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Фінансування інвестицій в основний та оборотний капітал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nuz59yupwz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ФОРМИ, МЕТОДИ ТА ОСВІТНІ ТЕХНОЛОГІЇ НАВЧАННЯ</w:t>
      </w:r>
    </w:p>
    <w:p w:rsidR="00000000" w:rsidDel="00000000" w:rsidP="00000000" w:rsidRDefault="00000000" w:rsidRPr="00000000" w14:paraId="00000035">
      <w:pPr>
        <w:ind w:right="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 процесі вивчення навчальної дисципліни використовуються традиційні та інноваційні освітні технології (інформаційно-комунікаційні, технології студентоцентрованого навчання), традиційні та інтерактивні форми і методи навчання (зокрема, лекція-візуалізація, бінарна лекція, практичне заняття-дискусія, практичне заняття-діалог, самостійно-дослідницька робота тощо).</w:t>
      </w:r>
    </w:p>
    <w:p w:rsidR="00000000" w:rsidDel="00000000" w:rsidP="00000000" w:rsidRDefault="00000000" w:rsidRPr="00000000" w14:paraId="00000036">
      <w:pPr>
        <w:widowControl w:val="1"/>
        <w:ind w:right="3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qbw8nsdjf4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hd w:fill="ffffff" w:val="clear"/>
        <w:tabs>
          <w:tab w:val="left" w:leader="none" w:pos="993"/>
        </w:tabs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Поточний контроль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усне та письмове опитування, тестування, розв’язування практичних ситуацій, захист презентацій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залік.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студентами при вивченні навчальної дисципліни регламентуються наступними нормативними документами ЧНУ: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https://www.chnu.edu.ua/media/lnojdab4/pravyla-akademichnoi-dobrochesnosti.pdf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Положення про виявлення та запобігання академічному плагіату у Чернівецькому національному університеті імені Юрія Федьковича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Етичний кодекс Чернівецького національного університету імені Юрія Федьковича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https://www.chnu.edu.ua/media/jxdbs0zb/etychnyi-kodeks-chernivetskoho-natsionalnoho-universytetu.pdf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6">
      <w:pPr>
        <w:tabs>
          <w:tab w:val="left" w:leader="none" w:pos="180"/>
        </w:tabs>
        <w:ind w:left="180" w:hanging="18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Офіційні сайти органів державного управління України: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Верховна Рада України. </w:t>
      </w:r>
      <w:r w:rsidDel="00000000" w:rsidR="00000000" w:rsidRPr="00000000">
        <w:rPr>
          <w:color w:val="000000"/>
          <w:highlight w:val="white"/>
          <w:rtl w:val="0"/>
        </w:rPr>
        <w:t xml:space="preserve">URL: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4f81bd"/>
          <w:sz w:val="24"/>
          <w:szCs w:val="24"/>
          <w:u w:val="single"/>
          <w:rtl w:val="0"/>
        </w:rPr>
        <w:t xml:space="preserve">http//</w:t>
      </w:r>
      <w:hyperlink r:id="rId11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www.zakon.rada.gov.ua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Кабінет Міністрів України. </w:t>
      </w:r>
      <w:r w:rsidDel="00000000" w:rsidR="00000000" w:rsidRPr="00000000">
        <w:rPr>
          <w:color w:val="000000"/>
          <w:highlight w:val="white"/>
          <w:rtl w:val="0"/>
        </w:rPr>
        <w:t xml:space="preserve">URL: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https://www.kmu.gov.ua/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1"/>
        </w:numPr>
        <w:ind w:left="360" w:hanging="360"/>
        <w:jc w:val="both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Міністерство фінансів України. </w:t>
      </w:r>
      <w:r w:rsidDel="00000000" w:rsidR="00000000" w:rsidRPr="00000000">
        <w:rPr>
          <w:color w:val="000000"/>
          <w:highlight w:val="white"/>
          <w:rtl w:val="0"/>
        </w:rPr>
        <w:t xml:space="preserve">URL: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13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https://www.mof.gov.ua/uk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1"/>
        </w:numPr>
        <w:ind w:left="360" w:hanging="36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Державна служба статистики України. </w:t>
      </w:r>
      <w:r w:rsidDel="00000000" w:rsidR="00000000" w:rsidRPr="00000000">
        <w:rPr>
          <w:color w:val="000000"/>
          <w:highlight w:val="white"/>
          <w:rtl w:val="0"/>
        </w:rPr>
        <w:t xml:space="preserve">URL: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hyperlink r:id="rId14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http://www.ukrstat.gov.ua/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1"/>
        </w:numPr>
        <w:ind w:left="360" w:hanging="360"/>
        <w:jc w:val="both"/>
        <w:rPr>
          <w:color w:val="000000"/>
          <w:sz w:val="24"/>
          <w:szCs w:val="24"/>
          <w:u w:val="none"/>
        </w:rPr>
      </w:pPr>
      <w:bookmarkStart w:colFirst="0" w:colLast="0" w:name="_heading=h.u42662wb0oj5" w:id="3"/>
      <w:bookmarkEnd w:id="3"/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Національна комісія з цінних паперів та фондового ринку. URL: https://www.nssmc.gov.ua/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Офіційні сайти науково-дослідних інститутів і центрів, пошукових систем: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2"/>
        </w:numPr>
        <w:tabs>
          <w:tab w:val="left" w:leader="none" w:pos="0"/>
        </w:tabs>
        <w:ind w:left="360" w:hanging="360"/>
        <w:jc w:val="both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Національний інститут стратегічних досліджень.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URL: </w:t>
      </w:r>
      <w:hyperlink r:id="rId15">
        <w:r w:rsidDel="00000000" w:rsidR="00000000" w:rsidRPr="00000000">
          <w:rPr>
            <w:color w:val="000000"/>
            <w:sz w:val="24"/>
            <w:szCs w:val="24"/>
            <w:u w:val="none"/>
            <w:rtl w:val="0"/>
          </w:rPr>
          <w:t xml:space="preserve">https://niss.gov.ua/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2"/>
        </w:numPr>
        <w:tabs>
          <w:tab w:val="left" w:leader="none" w:pos="0"/>
        </w:tabs>
        <w:ind w:left="360" w:hanging="360"/>
        <w:jc w:val="both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YouControl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URL: </w:t>
      </w:r>
      <w:hyperlink r:id="rId16">
        <w:r w:rsidDel="00000000" w:rsidR="00000000" w:rsidRPr="00000000">
          <w:rPr>
            <w:color w:val="000000"/>
            <w:sz w:val="24"/>
            <w:szCs w:val="24"/>
            <w:u w:val="none"/>
            <w:rtl w:val="0"/>
          </w:rPr>
          <w:t xml:space="preserve">https://youcontrol.com.ua/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2"/>
        </w:numPr>
        <w:tabs>
          <w:tab w:val="left" w:leader="none" w:pos="0"/>
        </w:tabs>
        <w:ind w:left="360" w:hanging="360"/>
        <w:jc w:val="both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Дія. Бізнес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URL: </w:t>
      </w:r>
      <w:hyperlink r:id="rId17">
        <w:r w:rsidDel="00000000" w:rsidR="00000000" w:rsidRPr="00000000">
          <w:rPr>
            <w:color w:val="000000"/>
            <w:sz w:val="24"/>
            <w:szCs w:val="24"/>
            <w:u w:val="none"/>
            <w:rtl w:val="0"/>
          </w:rPr>
          <w:t xml:space="preserve">https://business.diia.gov.ua/marketplace/finansuvanna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Журнал Forbes Ukraine. URL: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https://forbes.ua/company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Економічна правда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URL: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epravda.com.ua.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Liga.net. URL: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https://finance.liga.net/ua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БІЗНЕС ЦЕНЗОР. URL: https://censor.net/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360" w:hanging="36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Офіційні сайти наукових і електронних бібліотек в Україні: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3"/>
        </w:numPr>
        <w:tabs>
          <w:tab w:val="left" w:leader="none" w:pos="0"/>
        </w:tabs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Електронна бібліотека. </w:t>
      </w:r>
      <w:r w:rsidDel="00000000" w:rsidR="00000000" w:rsidRPr="00000000">
        <w:rPr>
          <w:color w:val="000000"/>
          <w:highlight w:val="white"/>
          <w:rtl w:val="0"/>
        </w:rPr>
        <w:t xml:space="preserve">URL: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2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http://irbis-nbuv.gov.ua/cgi-bin/ua/elib.exe?C21COM=F&amp;I21DBN=UKRLIB&amp;P21DBN=UKRLIB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3"/>
        </w:numPr>
        <w:tabs>
          <w:tab w:val="left" w:leader="none" w:pos="0"/>
        </w:tabs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Національна бібліотека України ім. В.І. Вернадського. </w:t>
      </w:r>
      <w:r w:rsidDel="00000000" w:rsidR="00000000" w:rsidRPr="00000000">
        <w:rPr>
          <w:color w:val="000000"/>
          <w:highlight w:val="white"/>
          <w:rtl w:val="0"/>
        </w:rPr>
        <w:t xml:space="preserve">URL:.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21">
        <w:r w:rsidDel="00000000" w:rsidR="00000000" w:rsidRPr="00000000">
          <w:rPr>
            <w:color w:val="0000ff"/>
            <w:u w:val="single"/>
            <w:rtl w:val="0"/>
          </w:rPr>
          <w:t xml:space="preserve">http://www.nbuv.gov.ua/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3"/>
        </w:numPr>
        <w:tabs>
          <w:tab w:val="left" w:leader="none" w:pos="0"/>
        </w:tabs>
        <w:ind w:left="360" w:hanging="360"/>
        <w:jc w:val="both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Національна бібліотека України ім. Я. Мудрого. </w:t>
      </w:r>
      <w:r w:rsidDel="00000000" w:rsidR="00000000" w:rsidRPr="00000000">
        <w:rPr>
          <w:color w:val="000000"/>
          <w:highlight w:val="white"/>
          <w:rtl w:val="0"/>
        </w:rPr>
        <w:t xml:space="preserve">URL: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2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https://nlu.org.ua/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«Корпоративні фінанси»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3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851" w:top="85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 w:val="1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pPr>
      <w:ind w:left="105"/>
    </w:pPr>
  </w:style>
  <w:style w:type="character" w:styleId="a5">
    <w:name w:val="Hyperlink"/>
    <w:basedOn w:val="a0"/>
    <w:uiPriority w:val="99"/>
    <w:unhideWhenUsed w:val="1"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a">
    <w:name w:val="Normal (Web)"/>
    <w:aliases w:val="Обычный (веб)1"/>
    <w:basedOn w:val="a"/>
    <w:uiPriority w:val="99"/>
    <w:unhideWhenUsed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2" w:customStyle="1">
    <w:name w:val="Неразрешенное упоминание2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b">
    <w:name w:val="Emphasis"/>
    <w:basedOn w:val="a0"/>
    <w:uiPriority w:val="20"/>
    <w:qFormat w:val="1"/>
    <w:rsid w:val="005451FE"/>
    <w:rPr>
      <w:i w:val="1"/>
      <w:iCs w:val="1"/>
    </w:rPr>
  </w:style>
  <w:style w:type="paragraph" w:styleId="20">
    <w:name w:val="Body Text 2"/>
    <w:basedOn w:val="a"/>
    <w:link w:val="21"/>
    <w:uiPriority w:val="99"/>
    <w:semiHidden w:val="1"/>
    <w:unhideWhenUsed w:val="1"/>
    <w:rsid w:val="00AD4F48"/>
    <w:pPr>
      <w:spacing w:after="120" w:line="480" w:lineRule="auto"/>
    </w:pPr>
  </w:style>
  <w:style w:type="character" w:styleId="21" w:customStyle="1">
    <w:name w:val="Основной текст 2 Знак"/>
    <w:basedOn w:val="a0"/>
    <w:link w:val="20"/>
    <w:rsid w:val="00AD4F48"/>
    <w:rPr>
      <w:rFonts w:ascii="Times New Roman" w:cs="Times New Roman" w:eastAsia="Times New Roman" w:hAnsi="Times New Roman"/>
      <w:lang w:val="uk-UA"/>
    </w:rPr>
  </w:style>
  <w:style w:type="character" w:styleId="ac">
    <w:name w:val="Strong"/>
    <w:basedOn w:val="a0"/>
    <w:uiPriority w:val="22"/>
    <w:qFormat w:val="1"/>
    <w:rsid w:val="0067731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irbis-nbuv.gov.ua/cgi-bin/ua/elib.exe?C21COM=F&amp;I21DBN=UKRLIB&amp;P21DBN=UKRLIB" TargetMode="External"/><Relationship Id="rId11" Type="http://schemas.openxmlformats.org/officeDocument/2006/relationships/hyperlink" Target="http://www.zakon.rada.gov.ua/" TargetMode="External"/><Relationship Id="rId22" Type="http://schemas.openxmlformats.org/officeDocument/2006/relationships/hyperlink" Target="https://nlu.org.ua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21" Type="http://schemas.openxmlformats.org/officeDocument/2006/relationships/hyperlink" Target="http://www.nbuv.gov.ua/" TargetMode="External"/><Relationship Id="rId13" Type="http://schemas.openxmlformats.org/officeDocument/2006/relationships/hyperlink" Target="https://www.mof.gov.ua/uk" TargetMode="External"/><Relationship Id="rId12" Type="http://schemas.openxmlformats.org/officeDocument/2006/relationships/hyperlink" Target="https://www.kmu.gov.ua/" TargetMode="External"/><Relationship Id="rId23" Type="http://schemas.openxmlformats.org/officeDocument/2006/relationships/hyperlink" Target="https://finance.chnu.edu.ua/diialnist/osvitnia-diialnist/bakalavr/navchalni-dystsypliny/robochi-prohram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f5eleobm/polozhennya-pro-zapobihannia-plahiatu_2024.pdf" TargetMode="External"/><Relationship Id="rId15" Type="http://schemas.openxmlformats.org/officeDocument/2006/relationships/hyperlink" Target="https://niss.gov.ua/" TargetMode="External"/><Relationship Id="rId14" Type="http://schemas.openxmlformats.org/officeDocument/2006/relationships/hyperlink" Target="http://www.ukrstat.gov.ua/" TargetMode="External"/><Relationship Id="rId17" Type="http://schemas.openxmlformats.org/officeDocument/2006/relationships/hyperlink" Target="https://business.diia.gov.ua/marketplace/finansuvanna" TargetMode="External"/><Relationship Id="rId16" Type="http://schemas.openxmlformats.org/officeDocument/2006/relationships/hyperlink" Target="https://youcontrol.com.ua/" TargetMode="External"/><Relationship Id="rId5" Type="http://schemas.openxmlformats.org/officeDocument/2006/relationships/styles" Target="styles.xml"/><Relationship Id="rId19" Type="http://schemas.openxmlformats.org/officeDocument/2006/relationships/hyperlink" Target="https://finance.liga.net/ua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forbes.ua/company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www.chnu.edu.ua/media/lnojdab4/pravyla-akademichnoi-dobrochesnost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TZhQ9KyrlkqOfO/h3K9xYzeqg==">CgMxLjAyDmguZTdib3Z1NnFwcXR3Mg5oLm9udXo1OXl1cHd6OTIOaC5hcWJ3OG5zZGpmNDAyDmgudTQyNjYyd2Iwb2o1OAByITF2R0w4eXFOdTUzRFMwcS1VZUs5eUFtQ1JLcFBaNGNscg==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2024-08-03T10:58:00Z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