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40"/>
          <w:szCs w:val="40"/>
        </w:rPr>
      </w:pP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bCs w:val="1"/>
          <w:color w:val="632423"/>
          <w:sz w:val="28"/>
          <w:szCs w:val="28"/>
          <w:rtl w:val="0"/>
        </w:rPr>
        <w:t xml:space="preserve">ЕКОНОМІЧНА ТЕОРІЯ</w:t>
      </w:r>
      <w:r w:rsidDel="00000000" w:rsidR="00000000" w:rsidRPr="00000000">
        <w:rPr>
          <w:b w:val="1"/>
          <w:bCs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(4</w:t>
      </w:r>
      <w:r w:rsidDel="00000000" w:rsidR="00000000" w:rsidRPr="00000000">
        <w:rPr>
          <w:i w:val="1"/>
          <w:iCs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85"/>
        <w:gridCol w:w="6848"/>
        <w:tblGridChange w:id="0">
          <w:tblGrid>
            <w:gridCol w:w="3185"/>
            <w:gridCol w:w="68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D2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 Бізнес, адміністрування та право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Поченчук Галина Михайлівна - доктор економічних наук, доцент кафедри економічної теорії, менеджменту і адміністрування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(https://ecoman.chnu.edu.ua/kafedra/kolektyv/pochenchuk-halyna-mykhailivna/)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+380504345687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g.pochenchyuk@chnu.edu.ua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1"/>
                  <w:iCs w:val="1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https://moodle.chnu.edu.ua/course/view.php?id=7909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середа з 13.00 до 15.00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ind w:left="0" w:right="517" w:firstLine="0"/>
        <w:rPr>
          <w:color w:val="632423"/>
          <w:sz w:val="28"/>
          <w:szCs w:val="28"/>
        </w:rPr>
      </w:pPr>
      <w:r w:rsidDel="00000000" w:rsidR="00000000" w:rsidRPr="00000000">
        <w:rPr>
          <w:color w:val="632423"/>
          <w:sz w:val="28"/>
          <w:szCs w:val="28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C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Вивчення економічної теорії є основою, базисом для розуміння економічних аспектів життєдіяльності суспільства і кожного окремого індивіда. Кожна людина щодня стикається з тими чи іншими сторонами економіки: це і придбання товарів, отримання заробітної плати, використання грошей, одержання кредиту та ін. Умови існування кожної людини також оцінюються через призму стану економіки, при цьому, з одного боку, метою економічної діяльності є задоволення потреб людини, а з іншого – людина є головною діючою особою, що здійснює економічний вибір. Відповідно набуття знань щодо особливостей економічних відносин, закономірностей функціонування та розвитку економічних систем та суб’єктів, розуміння проблем ефективного використання суспільством обмежених виробничих ресурсів і шляхів досягнення максимальних кінцевих результатів є важливим для формування компетентностей висококваліфікованих фахівців в галузі знань.</w:t>
      </w:r>
    </w:p>
    <w:p w:rsidR="00000000" w:rsidDel="00000000" w:rsidP="00000000" w:rsidRDefault="00000000" w:rsidRPr="00000000" w14:paraId="0000001D">
      <w:pPr>
        <w:ind w:right="517"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Мета навчальної дисципліни «Економічна теорія»: формування у майбутніх бакалаврів глибоких економічних знань, логіки сучасного економічного мислення і економічної культури, адекватних сучасним умовам економічного розвитку країни, навчання студентів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899"/>
        <w:tblGridChange w:id="0">
          <w:tblGrid>
            <w:gridCol w:w="1242"/>
            <w:gridCol w:w="889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ОСНОВИ ЕКОНОМІЧНОЇ ТЕОРІЇ ТА МІКРОЕКОНОМІКА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Економічна теорія як наука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Економічні ресурси та виробничі можливості суспільства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Суспільний розвиток та механізм функціонування економічних систем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Ринок як економічна форма організації функціонування економіки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Конкуренція в ринковій економіці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6.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Домогосподарство як суб’єкт ринкових відносин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7.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Підприємництво. фірма в системі ринкових відносин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8.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ринків та їхня інфраструктура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МЕХАНІЗМ ФУНКЦІОНУВАННЯ НАЦІОНАЛЬНОЇ ЕКОНОМІКИ ТА СВІТОВОГО ГОСПОДАРСТВА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9.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Національна економіка та показники її розвитку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10.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Розподіл національного доходу і його споживання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11.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Загальноекономічна рівновага та економічне зростання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12.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Макроекономічна нестабільність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13.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Фінансова система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14.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Кредитна система та регулювання грошового обігу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15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Еволюція світового господарства та глобалізація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16.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Форми міжнародних економічних відносин та зовнішньоекономічна політика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6s970k3h52x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МЕТОДИ НАВЧАННЯ</w:t>
      </w:r>
    </w:p>
    <w:p w:rsidR="00000000" w:rsidDel="00000000" w:rsidP="00000000" w:rsidRDefault="00000000" w:rsidRPr="00000000" w14:paraId="00000047">
      <w:pPr>
        <w:ind w:right="517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завдань  (Case study) та ін.</w:t>
      </w:r>
    </w:p>
    <w:p w:rsidR="00000000" w:rsidDel="00000000" w:rsidP="00000000" w:rsidRDefault="00000000" w:rsidRPr="00000000" w14:paraId="00000048">
      <w:pPr>
        <w:widowControl w:val="1"/>
        <w:ind w:right="517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bwi1vkl17yq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есе, творча робота, проект, презентація та ін.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https://www.chnu.edu.ua/media/jxdbs0zb/etychnyi-kodeks-chernivets 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70c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https://www.chnu.edu.ua/media/n5nbzwgb/polozhennia-chnu-pro-plahi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single"/>
          <w:shd w:fill="auto" w:val="clear"/>
          <w:vertAlign w:val="baseline"/>
          <w:rtl w:val="0"/>
        </w:rPr>
        <w:t xml:space="preserve"> at-2023plusdodatky-31102023.pdf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56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bookmarkStart w:colFirst="0" w:colLast="0" w:name="_heading=h.brejsyy46eua" w:id="2"/>
      <w:bookmarkEnd w:id="2"/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Верховної Ради України URL : </w:t>
      </w:r>
      <w:hyperlink r:id="rId1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https://parlament.org.ua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веб-портал органів виконавчої влади України. URL: </w:t>
      </w:r>
      <w:hyperlink r:id="rId1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http://www.kmu.gov.ua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8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веб-сайт Державної служби статистики України. URL: </w:t>
      </w:r>
      <w:hyperlink r:id="rId1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http://www.ukrstat.gov.ua/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Національного банку України URL: </w:t>
      </w:r>
      <w:hyperlink r:id="rId14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https://bank.gov.ua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Міністерства фінансів України URL : </w:t>
      </w:r>
      <w:hyperlink r:id="rId15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https://mof.gov.ua/uk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B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наукового журналу «Економіка України». URL: </w:t>
      </w:r>
      <w:hyperlink r:id="rId16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http://www.economukraine.com.ua/index.php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науково-теоретичного журналу «Економічна теорія». URL: </w:t>
      </w:r>
      <w:hyperlink r:id="rId1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http://etet.org.ua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Інституту демографії та соціальних досліджень імені М. В. Птухи Національної академії наук України. URL: </w:t>
      </w:r>
      <w:hyperlink r:id="rId18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http://www.idss.org.ua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Офіційний сайт Інституту економіки та прогнозування Національної академії наук України. URL: </w:t>
      </w:r>
      <w:hyperlink r:id="rId1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http://ief.org.ua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Міжнародного валютного фонду. URL: </w:t>
      </w:r>
      <w:hyperlink r:id="rId2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http://www.imf.org/external/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Міністерства розвитку економіки, торгівлі та сільського господарства України. URL: </w:t>
      </w:r>
      <w:hyperlink r:id="rId21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http://www.me.gov.ua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Національного інституту стратегічних досліджень. URL: </w:t>
      </w:r>
      <w:hyperlink r:id="rId22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http://www.niss.gov.ua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Національної бібліотеки України імені В.І. Вернадського. URL: </w:t>
      </w:r>
      <w:hyperlink r:id="rId23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http://www.nbuv.gov.ua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Офіційний сайт Світового банку. URL: </w:t>
      </w:r>
      <w:hyperlink r:id="rId24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http://www.worldbank.org/uk/country/ukraine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 Офіційний сайт Світової організації торгівлі. URL: https://www.wto.org </w:t>
      </w:r>
    </w:p>
    <w:p w:rsidR="00000000" w:rsidDel="00000000" w:rsidP="00000000" w:rsidRDefault="00000000" w:rsidRPr="00000000" w14:paraId="00000065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Програма розвитку ООН в Україні URL:    </w:t>
      </w:r>
      <w:hyperlink r:id="rId25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https://www.ua.undp.org/content/ukraine/uk/home/about-us.html</w:t>
        </w:r>
      </w:hyperlink>
      <w:r w:rsidDel="00000000" w:rsidR="00000000" w:rsidRPr="00000000">
        <w:rPr>
          <w:color w:val="0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6">
      <w:pPr>
        <w:widowControl w:val="1"/>
        <w:numPr>
          <w:ilvl w:val="0"/>
          <w:numId w:val="2"/>
        </w:numPr>
        <w:tabs>
          <w:tab w:val="left" w:leader="none" w:pos="567"/>
        </w:tabs>
        <w:ind w:left="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Стратегія сталого розвитку України до 2030 року. URL:    </w:t>
      </w:r>
      <w:r w:rsidDel="00000000" w:rsidR="00000000" w:rsidRPr="00000000">
        <w:rPr>
          <w:color w:val="0000ff"/>
          <w:sz w:val="28"/>
          <w:szCs w:val="28"/>
          <w:u w:val="single"/>
          <w:rtl w:val="0"/>
        </w:rPr>
        <w:t xml:space="preserve">https://learn.ztu. edu.ua/pluginfile.php/57342/mod_resource/content/1/Стратегія-сталого-розвитку.pdf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09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«ЕКОНОМІЧНА ТЕОРІЯ»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b w:val="1"/>
          <w:bCs w:val="1"/>
          <w:i w:val="1"/>
          <w:iCs w:val="1"/>
          <w:color w:val="632423"/>
          <w:sz w:val="28"/>
          <w:szCs w:val="28"/>
        </w:rPr>
      </w:pPr>
      <w:hyperlink r:id="rId26">
        <w:r w:rsidDel="00000000" w:rsidR="00000000" w:rsidRPr="00000000">
          <w:rPr>
            <w:rFonts w:ascii="Arial" w:cs="Arial" w:eastAsia="Arial" w:hAnsi="Arial"/>
            <w:b w:val="1"/>
            <w:bCs w:val="1"/>
            <w:i w:val="1"/>
            <w:iCs w:val="1"/>
            <w:color w:val="1155cc"/>
            <w:highlight w:val="white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b w:val="1"/>
          <w:bCs w:val="1"/>
          <w:i w:val="1"/>
          <w:iCs w:val="1"/>
          <w:color w:val="632423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iPriority w:val="99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у виносці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1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5451FE"/>
    <w:rPr>
      <w:i w:val="1"/>
      <w:iCs w:val="1"/>
    </w:rPr>
  </w:style>
  <w:style w:type="character" w:styleId="ac">
    <w:name w:val="Unresolved Mention"/>
    <w:basedOn w:val="a0"/>
    <w:uiPriority w:val="99"/>
    <w:semiHidden w:val="1"/>
    <w:unhideWhenUsed w:val="1"/>
    <w:rsid w:val="000F127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imf.org/external/" TargetMode="External"/><Relationship Id="rId22" Type="http://schemas.openxmlformats.org/officeDocument/2006/relationships/hyperlink" Target="http://www.niss.gov.ua" TargetMode="External"/><Relationship Id="rId21" Type="http://schemas.openxmlformats.org/officeDocument/2006/relationships/hyperlink" Target="http://www.me.gov.ua" TargetMode="External"/><Relationship Id="rId24" Type="http://schemas.openxmlformats.org/officeDocument/2006/relationships/hyperlink" Target="http://www.worldbank.org/uk/country/ukraine" TargetMode="External"/><Relationship Id="rId23" Type="http://schemas.openxmlformats.org/officeDocument/2006/relationships/hyperlink" Target="http://www.nbuv.gov.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jxdbs0zb/etychnyi-kodeks-chernivets%20koho-natsionalnoho-universytetu.pdf" TargetMode="External"/><Relationship Id="rId26" Type="http://schemas.openxmlformats.org/officeDocument/2006/relationships/hyperlink" Target="https://finance.chnu.edu.ua/diialnist/osvitnia-diialnist/bakalavr/navchalni-dystsypliny/robochi-prohramy/" TargetMode="External"/><Relationship Id="rId25" Type="http://schemas.openxmlformats.org/officeDocument/2006/relationships/hyperlink" Target="https://www.ua.undp.org/content/ukraine/uk/home/about-us.htm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moodle.chnu.edu.ua/course/view.php?id=7909" TargetMode="External"/><Relationship Id="rId11" Type="http://schemas.openxmlformats.org/officeDocument/2006/relationships/hyperlink" Target="https://parlament.org.ua" TargetMode="External"/><Relationship Id="rId10" Type="http://schemas.openxmlformats.org/officeDocument/2006/relationships/hyperlink" Target="https://www.chnu.edu.ua/media/n5nbzwgb/polozhennia-chnu-pro-plahi" TargetMode="External"/><Relationship Id="rId13" Type="http://schemas.openxmlformats.org/officeDocument/2006/relationships/hyperlink" Target="http://www.ukrstat.gov.ua/" TargetMode="External"/><Relationship Id="rId12" Type="http://schemas.openxmlformats.org/officeDocument/2006/relationships/hyperlink" Target="http://www.kmu.gov.ua" TargetMode="External"/><Relationship Id="rId15" Type="http://schemas.openxmlformats.org/officeDocument/2006/relationships/hyperlink" Target="https://mof.gov.ua/uk" TargetMode="External"/><Relationship Id="rId14" Type="http://schemas.openxmlformats.org/officeDocument/2006/relationships/hyperlink" Target="https://bank.gov.ua" TargetMode="External"/><Relationship Id="rId17" Type="http://schemas.openxmlformats.org/officeDocument/2006/relationships/hyperlink" Target="http://etet.org.ua" TargetMode="External"/><Relationship Id="rId16" Type="http://schemas.openxmlformats.org/officeDocument/2006/relationships/hyperlink" Target="http://www.economukraine.com.ua/index.php" TargetMode="External"/><Relationship Id="rId19" Type="http://schemas.openxmlformats.org/officeDocument/2006/relationships/hyperlink" Target="http://ief.org.ua" TargetMode="External"/><Relationship Id="rId18" Type="http://schemas.openxmlformats.org/officeDocument/2006/relationships/hyperlink" Target="http://www.idss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FZqrCL5Oh0Y6tCMJu8sgLTJLA==">CgMxLjAyDmguNnM5NzBrM2g1MnhpMg5oLmJ3aTF2a2wxN3lxeTIOaC5icmVqc3l5NDZldWE4AHIhMWttdTVFU0NkOUN0YXFkYW1YZFFFZUlfV2NPWHBwSHB1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2024-07-03T08:16:00Z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f416b85a-4d25-4608-b526-06638c6d1499</vt:lpwstr>
  </property>
</Properties>
</file>