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1E5ABF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uk-UA"/>
        </w:rPr>
        <w:t xml:space="preserve">Аналіз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опитування здобувачів вищої освіти за спеціальністю 035 "Філологія" бакалаврського ступеню стосовно якості надання освітніх послуг</w:t>
      </w:r>
    </w:p>
    <w:p w14:paraId="15C03C2C">
      <w:pPr>
        <w:jc w:val="center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>(квітень 2024)</w:t>
      </w:r>
    </w:p>
    <w:p w14:paraId="430BC941">
      <w:p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7D04BF6D">
      <w:pPr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>В опитуванні взяло участь 86 студентів (29 студентів 1 курсу, 34 студенти 2 курсу, 11 студентів 3 курсу та 12 студентів 4 курсу).</w:t>
      </w:r>
    </w:p>
    <w:p w14:paraId="044B5184">
      <w:pPr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>25,6% студентів цілком задоволені рівнем знань та практичних навичок, які вони отримують під час освітнього процесу, 46,5% задоволені частково, 22,1% не впевнені, чи задовольняє їх рівень отримуваних знань та практичних навичок, 5,9 % незадоволені.</w:t>
      </w:r>
    </w:p>
    <w:p w14:paraId="0AEC7E88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127750" cy="2753360"/>
            <wp:effectExtent l="0" t="0" r="139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12997" t="28997" r="13938" b="12645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9425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</w:p>
    <w:p w14:paraId="27290FE5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 xml:space="preserve">Стосовно рівня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soft skills</w:t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>, які формуються під час навчання, студенти висловили таку думку: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5"/>
        <w:gridCol w:w="1648"/>
        <w:gridCol w:w="1648"/>
        <w:gridCol w:w="1648"/>
        <w:gridCol w:w="1674"/>
        <w:gridCol w:w="1675"/>
      </w:tblGrid>
      <w:tr w14:paraId="4FFD1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781C594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89" w:type="dxa"/>
          </w:tcPr>
          <w:p w14:paraId="15B9BB4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Цілком задоволені</w:t>
            </w:r>
          </w:p>
        </w:tc>
        <w:tc>
          <w:tcPr>
            <w:tcW w:w="1689" w:type="dxa"/>
          </w:tcPr>
          <w:p w14:paraId="1A96E90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Частково задоволені</w:t>
            </w:r>
          </w:p>
        </w:tc>
        <w:tc>
          <w:tcPr>
            <w:tcW w:w="1689" w:type="dxa"/>
          </w:tcPr>
          <w:p w14:paraId="3C6C1B8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Не впевнені, чи задоволені</w:t>
            </w:r>
          </w:p>
        </w:tc>
        <w:tc>
          <w:tcPr>
            <w:tcW w:w="1689" w:type="dxa"/>
          </w:tcPr>
          <w:p w14:paraId="25EBE3A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Частково незадоволені</w:t>
            </w:r>
          </w:p>
        </w:tc>
        <w:tc>
          <w:tcPr>
            <w:tcW w:w="1689" w:type="dxa"/>
          </w:tcPr>
          <w:p w14:paraId="438D846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Зовсім незадоволені</w:t>
            </w:r>
          </w:p>
        </w:tc>
      </w:tr>
      <w:tr w14:paraId="16CB9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7113D29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Самостійність</w:t>
            </w:r>
          </w:p>
        </w:tc>
        <w:tc>
          <w:tcPr>
            <w:tcW w:w="1689" w:type="dxa"/>
          </w:tcPr>
          <w:p w14:paraId="50336FE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44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,2%</w:t>
            </w:r>
          </w:p>
        </w:tc>
        <w:tc>
          <w:tcPr>
            <w:tcW w:w="1689" w:type="dxa"/>
          </w:tcPr>
          <w:p w14:paraId="5988B67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36%</w:t>
            </w:r>
          </w:p>
        </w:tc>
        <w:tc>
          <w:tcPr>
            <w:tcW w:w="1689" w:type="dxa"/>
          </w:tcPr>
          <w:p w14:paraId="40D55BB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12,8%</w:t>
            </w:r>
          </w:p>
        </w:tc>
        <w:tc>
          <w:tcPr>
            <w:tcW w:w="1689" w:type="dxa"/>
          </w:tcPr>
          <w:p w14:paraId="58AE4F6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5,8%</w:t>
            </w:r>
          </w:p>
        </w:tc>
        <w:tc>
          <w:tcPr>
            <w:tcW w:w="1689" w:type="dxa"/>
          </w:tcPr>
          <w:p w14:paraId="01CBACC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1,2%</w:t>
            </w:r>
          </w:p>
        </w:tc>
      </w:tr>
      <w:tr w14:paraId="33543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211209D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Комунікація</w:t>
            </w:r>
          </w:p>
        </w:tc>
        <w:tc>
          <w:tcPr>
            <w:tcW w:w="1689" w:type="dxa"/>
          </w:tcPr>
          <w:p w14:paraId="1E39B89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51,2%</w:t>
            </w:r>
          </w:p>
        </w:tc>
        <w:tc>
          <w:tcPr>
            <w:tcW w:w="1689" w:type="dxa"/>
          </w:tcPr>
          <w:p w14:paraId="23696FF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30,2%</w:t>
            </w:r>
          </w:p>
        </w:tc>
        <w:tc>
          <w:tcPr>
            <w:tcW w:w="1689" w:type="dxa"/>
          </w:tcPr>
          <w:p w14:paraId="57A55EF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16,3%</w:t>
            </w:r>
          </w:p>
        </w:tc>
        <w:tc>
          <w:tcPr>
            <w:tcW w:w="1689" w:type="dxa"/>
          </w:tcPr>
          <w:p w14:paraId="40B0F15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1,2%</w:t>
            </w:r>
          </w:p>
        </w:tc>
        <w:tc>
          <w:tcPr>
            <w:tcW w:w="1689" w:type="dxa"/>
          </w:tcPr>
          <w:p w14:paraId="6DADE77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1,2%</w:t>
            </w:r>
          </w:p>
        </w:tc>
      </w:tr>
      <w:tr w14:paraId="745AD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74D4A79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Самонавчання</w:t>
            </w:r>
          </w:p>
        </w:tc>
        <w:tc>
          <w:tcPr>
            <w:tcW w:w="1689" w:type="dxa"/>
          </w:tcPr>
          <w:p w14:paraId="28B2B3C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39,5%</w:t>
            </w:r>
          </w:p>
        </w:tc>
        <w:tc>
          <w:tcPr>
            <w:tcW w:w="1689" w:type="dxa"/>
          </w:tcPr>
          <w:p w14:paraId="25516B2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31,4%</w:t>
            </w:r>
          </w:p>
        </w:tc>
        <w:tc>
          <w:tcPr>
            <w:tcW w:w="1689" w:type="dxa"/>
          </w:tcPr>
          <w:p w14:paraId="6C10A88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22,1%</w:t>
            </w:r>
          </w:p>
        </w:tc>
        <w:tc>
          <w:tcPr>
            <w:tcW w:w="1689" w:type="dxa"/>
          </w:tcPr>
          <w:p w14:paraId="47B0412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5,8%</w:t>
            </w:r>
          </w:p>
        </w:tc>
        <w:tc>
          <w:tcPr>
            <w:tcW w:w="1689" w:type="dxa"/>
          </w:tcPr>
          <w:p w14:paraId="617EFAD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1,2%</w:t>
            </w:r>
          </w:p>
        </w:tc>
      </w:tr>
      <w:tr w14:paraId="79653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010E1F4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 xml:space="preserve">Робота в команді </w:t>
            </w:r>
          </w:p>
        </w:tc>
        <w:tc>
          <w:tcPr>
            <w:tcW w:w="1689" w:type="dxa"/>
          </w:tcPr>
          <w:p w14:paraId="1FB6311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43%</w:t>
            </w:r>
          </w:p>
        </w:tc>
        <w:tc>
          <w:tcPr>
            <w:tcW w:w="1689" w:type="dxa"/>
          </w:tcPr>
          <w:p w14:paraId="2700012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39,5%</w:t>
            </w:r>
          </w:p>
        </w:tc>
        <w:tc>
          <w:tcPr>
            <w:tcW w:w="1689" w:type="dxa"/>
          </w:tcPr>
          <w:p w14:paraId="5A8DE29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14%</w:t>
            </w:r>
          </w:p>
        </w:tc>
        <w:tc>
          <w:tcPr>
            <w:tcW w:w="1689" w:type="dxa"/>
          </w:tcPr>
          <w:p w14:paraId="76A3834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2,3%</w:t>
            </w:r>
          </w:p>
        </w:tc>
        <w:tc>
          <w:tcPr>
            <w:tcW w:w="1689" w:type="dxa"/>
          </w:tcPr>
          <w:p w14:paraId="4638A03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1,2%</w:t>
            </w:r>
          </w:p>
        </w:tc>
      </w:tr>
      <w:bookmarkEnd w:id="0"/>
      <w:tr w14:paraId="667FD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36B54BD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bookmarkStart w:id="1" w:name="_GoBack" w:colFirst="4" w:colLast="5"/>
            <w:bookmarkEnd w:id="1"/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Стресостійкість</w:t>
            </w:r>
          </w:p>
        </w:tc>
        <w:tc>
          <w:tcPr>
            <w:tcW w:w="1689" w:type="dxa"/>
          </w:tcPr>
          <w:p w14:paraId="6CD9611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29,1%</w:t>
            </w:r>
          </w:p>
        </w:tc>
        <w:tc>
          <w:tcPr>
            <w:tcW w:w="1689" w:type="dxa"/>
          </w:tcPr>
          <w:p w14:paraId="0C3AD13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25,6%</w:t>
            </w:r>
          </w:p>
        </w:tc>
        <w:tc>
          <w:tcPr>
            <w:tcW w:w="1689" w:type="dxa"/>
          </w:tcPr>
          <w:p w14:paraId="10C7A5A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20,9%</w:t>
            </w:r>
          </w:p>
        </w:tc>
        <w:tc>
          <w:tcPr>
            <w:tcW w:w="1689" w:type="dxa"/>
          </w:tcPr>
          <w:p w14:paraId="7F7BD0A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US"/>
              </w:rPr>
              <w:t>11,6%</w:t>
            </w:r>
          </w:p>
        </w:tc>
        <w:tc>
          <w:tcPr>
            <w:tcW w:w="1689" w:type="dxa"/>
          </w:tcPr>
          <w:p w14:paraId="1D7FDD9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US"/>
              </w:rPr>
              <w:t>12,8%</w:t>
            </w:r>
          </w:p>
        </w:tc>
      </w:tr>
      <w:tr w14:paraId="6EFDE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</w:tcPr>
          <w:p w14:paraId="1A14174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uk-UA"/>
              </w:rPr>
              <w:t>Критичне мислення</w:t>
            </w:r>
          </w:p>
        </w:tc>
        <w:tc>
          <w:tcPr>
            <w:tcW w:w="1689" w:type="dxa"/>
          </w:tcPr>
          <w:p w14:paraId="2CEE10B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37,2%</w:t>
            </w:r>
          </w:p>
        </w:tc>
        <w:tc>
          <w:tcPr>
            <w:tcW w:w="1689" w:type="dxa"/>
          </w:tcPr>
          <w:p w14:paraId="114E0E7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40,7%</w:t>
            </w:r>
          </w:p>
        </w:tc>
        <w:tc>
          <w:tcPr>
            <w:tcW w:w="1689" w:type="dxa"/>
          </w:tcPr>
          <w:p w14:paraId="03BE02D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18,6%</w:t>
            </w:r>
          </w:p>
        </w:tc>
        <w:tc>
          <w:tcPr>
            <w:tcW w:w="1689" w:type="dxa"/>
          </w:tcPr>
          <w:p w14:paraId="357533F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3,5%</w:t>
            </w:r>
          </w:p>
        </w:tc>
        <w:tc>
          <w:tcPr>
            <w:tcW w:w="1689" w:type="dxa"/>
          </w:tcPr>
          <w:p w14:paraId="260F2DF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</w:tbl>
    <w:p w14:paraId="1930A0B2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</w:p>
    <w:p w14:paraId="72FFB229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206490" cy="2719705"/>
            <wp:effectExtent l="0" t="0" r="1143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12841" t="29190" r="13914" b="13759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3475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9397ADF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749290" cy="2445385"/>
            <wp:effectExtent l="0" t="0" r="1143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12961" t="28762" r="13914" b="15945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7D32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612206C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922010" cy="2534920"/>
            <wp:effectExtent l="0" t="0" r="635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12599" t="29640" r="13793" b="14359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5BD7A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73CE738C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920740" cy="2562225"/>
            <wp:effectExtent l="0" t="0" r="7620" b="133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l="13443" t="29340" r="14155" b="14959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0C73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2A6EEAE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938520" cy="2578735"/>
            <wp:effectExtent l="0" t="0" r="508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l="12720" t="28954" r="13673" b="14231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C06D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9E3D395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902325" cy="2626995"/>
            <wp:effectExtent l="0" t="0" r="1079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rcRect l="13202" t="30776" r="14034" b="11659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3CAC">
      <w:pPr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19E0D81E">
      <w:pPr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74,4% </w:t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>здобувачів освіти погоджуються, що ОПП дозволяє сформувати індивідуальну траекторію навчання через вибіркові дисципліни, 25,6% - не погоджуються.</w:t>
      </w:r>
    </w:p>
    <w:p w14:paraId="48051990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887720" cy="2450465"/>
            <wp:effectExtent l="0" t="0" r="1016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rcRect l="12961" t="30004" r="15481" b="17060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D8269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82A04C4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ab/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 xml:space="preserve">56,8% студентів вважають, що проходження практик сприяло підвищенню їх знань та практичних навичок, 22,2% - не впевнені в цьому, 20,9% - не погоджуються. </w:t>
      </w:r>
    </w:p>
    <w:p w14:paraId="6990BBDD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808980" cy="2534920"/>
            <wp:effectExtent l="0" t="0" r="1270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rcRect l="12901" t="33048" r="14095" b="10330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BC70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C9D3946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>34,9% здобувачів освіти цілком згодні, що викладачі ОП використовують студентоцентричні форми і методи навчання; 44,2% - згодні частково, 14% - не впевнені, по 3,5% частково або цілком не погоджуються.</w:t>
      </w:r>
    </w:p>
    <w:p w14:paraId="525E3AFC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899785" cy="2552065"/>
            <wp:effectExtent l="0" t="0" r="1333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rcRect l="12841" t="32555" r="14155" b="11316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4AB1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25092D8B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ab/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>Критерії оцінювання знань видаються цілком прозорими та зрозумілими для 40,7% студентів, для 33,7% - частково зрозумілими, для 17,4% - не зовсім зрозумілими, для 5,8% - частково незрозумілими, для 2,3% - незрозумілими.</w:t>
      </w:r>
    </w:p>
    <w:p w14:paraId="64201B28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099175" cy="2489200"/>
            <wp:effectExtent l="0" t="0" r="12065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rcRect l="13323" t="31312" r="13673" b="15731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1DD8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70FDBE1A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ab/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>41,9% здобувачів освіти повністю погоджуються, що ставленні викладачів освітньої програми до студентів неупереджене; 29,1% погоджуються частково; 22,1% не впевнені в цьому; 4,7% частково не погоджуються; 2,3% - зовсім не погоджуються.</w:t>
      </w:r>
    </w:p>
    <w:p w14:paraId="3183A1DE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84190" cy="2294890"/>
            <wp:effectExtent l="0" t="0" r="889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rcRect l="12720" t="36970" r="13793" b="9344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2827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DE91171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ab/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>39,5% студентів вважають, що викладачі ОП надають потрібний зворотній зв'язок вчасно, для 39,5% це відбувається частково вчасно; 12,8% сумніваються, що зворотній зв'язок від викладачів надавався вчасно; для 8,1% студентів зворотній зв'язок був невчасний.</w:t>
      </w:r>
    </w:p>
    <w:p w14:paraId="72511586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083300" cy="2526665"/>
            <wp:effectExtent l="0" t="0" r="1270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rcRect l="13082" t="32340" r="13793" b="13673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FE0F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9B8CF82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ab/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>87,2% здобувачів освіти обізнані з процедурою вирішення конфліктних ситуацій, 12,8% - не обізнані.</w:t>
      </w:r>
    </w:p>
    <w:p w14:paraId="01F43A61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205855" cy="2414270"/>
            <wp:effectExtent l="0" t="0" r="1206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rcRect l="13082" t="37805" r="14878" b="12387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8A29F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4F2B9DB1">
      <w:pPr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>98,8% обізнані з вимогами ЧНУ щодо дотримання академічної доброчесності.</w:t>
      </w:r>
    </w:p>
    <w:p w14:paraId="7388EDB7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184265" cy="239268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rcRect l="12358" t="37462" r="14155" b="1200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8236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3D9B5DD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>Для 54,7% студентів програма забезпечує зв'язок між науковим дослідженням та навчальним процесом, для 43% - частково, для 2,3% - ні.</w:t>
      </w:r>
    </w:p>
    <w:p w14:paraId="6F92AF26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819775" cy="2422525"/>
            <wp:effectExtent l="0" t="0" r="190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rcRect l="13082" t="36498" r="14999" b="1028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030B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FE03635">
      <w:pPr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>84,9% вважають інформацію по ОП та навчальному процесу прозорою та доступною, 15,1% не погоджуються.</w:t>
      </w:r>
    </w:p>
    <w:p w14:paraId="03676D42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915660" cy="2213610"/>
            <wp:effectExtent l="0" t="0" r="1270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rcRect l="13202" t="38298" r="14396" b="13545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58F14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3346E44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ab/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>72,1% здобувачів знають, куди звертатися, якщо вони потребують консультаційної та соціальної підтримки, 27,9% - не знають.</w:t>
      </w:r>
    </w:p>
    <w:p w14:paraId="7A8E270A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974715" cy="2475865"/>
            <wp:effectExtent l="0" t="0" r="1460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rcRect l="12961" t="36905" r="15180" b="10159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B36F9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B33474D">
      <w:pPr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hint="default" w:ascii="Times New Roman" w:hAnsi="Times New Roman" w:cs="Times New Roman"/>
          <w:sz w:val="24"/>
          <w:szCs w:val="24"/>
          <w:lang w:val="uk-UA"/>
        </w:rPr>
        <w:tab/>
      </w:r>
      <w:r>
        <w:rPr>
          <w:rFonts w:hint="default" w:ascii="Times New Roman" w:hAnsi="Times New Roman" w:cs="Times New Roman"/>
          <w:sz w:val="24"/>
          <w:szCs w:val="24"/>
          <w:lang w:val="uk-UA"/>
        </w:rPr>
        <w:t>81,4% студентів задоволені наданням консультаційної або соціальної підтримки, 18,6% - ні.</w:t>
      </w:r>
    </w:p>
    <w:p w14:paraId="7211D887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064250" cy="2391410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2"/>
                    <a:srcRect l="12841" t="38941" r="14818" b="1035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9BA77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40EAE24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1134" w:right="850" w:bottom="1134" w:left="113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C7081C"/>
    <w:rsid w:val="067765FB"/>
    <w:rsid w:val="09865008"/>
    <w:rsid w:val="175B30AB"/>
    <w:rsid w:val="23657AA0"/>
    <w:rsid w:val="27300125"/>
    <w:rsid w:val="28D31C91"/>
    <w:rsid w:val="2EFF6A28"/>
    <w:rsid w:val="42672AE3"/>
    <w:rsid w:val="554232D5"/>
    <w:rsid w:val="59C7081C"/>
    <w:rsid w:val="5CBB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45</TotalTime>
  <ScaleCrop>false</ScaleCrop>
  <LinksUpToDate>false</LinksUpToDate>
  <CharactersWithSpaces>0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2024-05-15T14:43:00Z</dcterms:created>
  <dc:creator>Dell 5591</dc:creator>
  <cp:lastModifiedBy>Алена -</cp:lastModifiedBy>
  <dcterms:modified xsi:type="dcterms:W3CDTF">2025-10-01T22:14:10Z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75B11297B6184291AB70ECCE7A8A35CE_11</vt:lpwstr>
  </property>
</Properties>
</file>