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СИЛАБУС НАВЧАЛЬНОЇ ДИСЦИПЛІНИ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-763904</wp:posOffset>
            </wp:positionH>
            <wp:positionV relativeFrom="paragraph">
              <wp:posOffset>-190499</wp:posOffset>
            </wp:positionV>
            <wp:extent cx="1114425" cy="1103710"/>
            <wp:effectExtent b="0" l="0" r="0" t="0"/>
            <wp:wrapNone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037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1"/>
        <w:ind w:right="517"/>
        <w:jc w:val="center"/>
        <w:rPr>
          <w:color w:val="632423"/>
          <w:sz w:val="40"/>
          <w:szCs w:val="40"/>
        </w:rPr>
      </w:pPr>
      <w:r w:rsidDel="00000000" w:rsidR="00000000" w:rsidRPr="00000000">
        <w:rPr>
          <w:b w:val="1"/>
          <w:bCs w:val="1"/>
          <w:color w:val="632423"/>
          <w:sz w:val="40"/>
          <w:szCs w:val="40"/>
          <w:rtl w:val="0"/>
        </w:rPr>
        <w:t xml:space="preserve">«</w:t>
      </w:r>
      <w:r w:rsidDel="00000000" w:rsidR="00000000" w:rsidRPr="00000000">
        <w:rPr>
          <w:b w:val="1"/>
          <w:bCs w:val="1"/>
          <w:color w:val="632423"/>
          <w:sz w:val="28"/>
          <w:szCs w:val="28"/>
          <w:rtl w:val="0"/>
        </w:rPr>
        <w:t xml:space="preserve">Макроекономіка</w:t>
      </w:r>
      <w:r w:rsidDel="00000000" w:rsidR="00000000" w:rsidRPr="00000000">
        <w:rPr>
          <w:b w:val="1"/>
          <w:bCs w:val="1"/>
          <w:color w:val="632423"/>
          <w:sz w:val="40"/>
          <w:szCs w:val="40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ind w:right="517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ind w:right="517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 Компонент освітньої програми</w:t>
      </w:r>
      <w:r w:rsidDel="00000000" w:rsidR="00000000" w:rsidRPr="00000000">
        <w:rPr>
          <w:i w:val="1"/>
          <w:iCs w:val="1"/>
          <w:color w:val="000000"/>
          <w:sz w:val="28"/>
          <w:szCs w:val="28"/>
          <w:rtl w:val="0"/>
        </w:rPr>
        <w:t xml:space="preserve"> –  </w:t>
      </w:r>
      <w:r w:rsidDel="00000000" w:rsidR="00000000" w:rsidRPr="00000000">
        <w:rPr>
          <w:i w:val="1"/>
          <w:iCs w:val="1"/>
          <w:color w:val="000000"/>
          <w:sz w:val="28"/>
          <w:szCs w:val="28"/>
          <w:u w:val="single"/>
          <w:rtl w:val="0"/>
        </w:rPr>
        <w:t xml:space="preserve">обов’язкова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(</w:t>
      </w:r>
      <w:r w:rsidDel="00000000" w:rsidR="00000000" w:rsidRPr="00000000">
        <w:rPr>
          <w:i w:val="1"/>
          <w:iCs w:val="1"/>
          <w:color w:val="000000"/>
          <w:sz w:val="28"/>
          <w:szCs w:val="28"/>
          <w:rtl w:val="0"/>
        </w:rPr>
        <w:t xml:space="preserve">4 кредити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517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78"/>
        <w:gridCol w:w="6755"/>
        <w:tblGridChange w:id="0">
          <w:tblGrid>
            <w:gridCol w:w="3278"/>
            <w:gridCol w:w="67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Освітньо-професійна програма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Фінанси, банківська справа та страхування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Спеціальність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072 - Фінанси, банківська справа, страхування та фондовий ринок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Галузь знань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07 – Управління та адміністрування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Рівень вищої освіти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перший (бакалаврський)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Мова навчання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українська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Профайл викладача 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Бойда Світлана Василівна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, к.е.н, доцент, асистент кафедри економічної теорії, менеджменту і адміністрування</w:t>
            </w:r>
          </w:p>
          <w:p w:rsidR="00000000" w:rsidDel="00000000" w:rsidP="00000000" w:rsidRDefault="00000000" w:rsidRPr="00000000" w14:paraId="00000012">
            <w:pPr>
              <w:rPr>
                <w:sz w:val="28"/>
                <w:szCs w:val="28"/>
              </w:rPr>
            </w:pPr>
            <w:hyperlink r:id="rId8">
              <w:r w:rsidDel="00000000" w:rsidR="00000000" w:rsidRPr="00000000">
                <w:rPr>
                  <w:color w:val="0000ff"/>
                  <w:sz w:val="28"/>
                  <w:szCs w:val="28"/>
                  <w:u w:val="single"/>
                  <w:rtl w:val="0"/>
                </w:rPr>
                <w:t xml:space="preserve">https://ecoman.chnu.edu.ua/kafedra/kolektyv/boida-svitlana-vasylivna/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Контактний тел.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+380-50-191-20-16 (Viber, WhatsApp)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8"/>
                  <w:szCs w:val="28"/>
                  <w:highlight w:val="white"/>
                  <w:u w:val="single"/>
                  <w:vertAlign w:val="baseline"/>
                  <w:rtl w:val="0"/>
                </w:rPr>
                <w:t xml:space="preserve">s.boyda@chnu.edu.ua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Сторінка курсу в Moodle</w:t>
            </w:r>
          </w:p>
        </w:tc>
        <w:tc>
          <w:tcPr/>
          <w:p w:rsidR="00000000" w:rsidDel="00000000" w:rsidP="00000000" w:rsidRDefault="00000000" w:rsidRPr="00000000" w14:paraId="00000018">
            <w:pPr>
              <w:pStyle w:val="Heading1"/>
              <w:ind w:left="0" w:right="517" w:firstLine="0"/>
              <w:rPr>
                <w:b w:val="0"/>
                <w:bCs w:val="0"/>
                <w:color w:val="63242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1"/>
              <w:ind w:left="0" w:right="517" w:firstLine="0"/>
              <w:rPr>
                <w:b w:val="0"/>
                <w:bCs w:val="0"/>
                <w:color w:val="632423"/>
                <w:sz w:val="28"/>
                <w:szCs w:val="28"/>
              </w:rPr>
            </w:pPr>
            <w:hyperlink r:id="rId10">
              <w:r w:rsidDel="00000000" w:rsidR="00000000" w:rsidRPr="00000000">
                <w:rPr>
                  <w:b w:val="0"/>
                  <w:bCs w:val="0"/>
                  <w:color w:val="0000ff"/>
                  <w:sz w:val="28"/>
                  <w:szCs w:val="28"/>
                  <w:u w:val="single"/>
                  <w:rtl w:val="0"/>
                </w:rPr>
                <w:t xml:space="preserve">https://moodle.chnu.edu.ua/course/view.php?id=1359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Консультації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четвер, 13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00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- 15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ind w:left="0" w:right="517" w:firstLine="0"/>
        <w:rPr>
          <w:color w:val="63242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ind w:left="0" w:right="517" w:firstLine="0"/>
        <w:rPr>
          <w:color w:val="632423"/>
          <w:sz w:val="28"/>
          <w:szCs w:val="28"/>
        </w:rPr>
      </w:pPr>
      <w:r w:rsidDel="00000000" w:rsidR="00000000" w:rsidRPr="00000000">
        <w:rPr>
          <w:color w:val="632423"/>
          <w:sz w:val="28"/>
          <w:szCs w:val="28"/>
          <w:rtl w:val="0"/>
        </w:rPr>
        <w:t xml:space="preserve">АНОТАЦІЯ НАВЧАЛЬНОЇ ДИСЦИПЛІНИ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f81b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Курс «Макроекономіка» покликаний дати студентам базові знання з теорії функціонування та розвитку макроекономічних систем. Набуття навичок макроекономічного аналізу є сьогодні одним із критеріїв підготовки фахівців-професіоналів, які здатні в умовах ринкових відносин зрозуміти суперечності складного економічного сьогодення та сформувати критичне сприйняття сучасної економічної реальності.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Метою навчальної дисципліни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«Макроекономіка» є розширення і закріплення розуміння здобувачами освіти основних понять сучасної економічної теорії, ознайомлення з базовими макроекономічними моделями, за допомогою яких аналізуються передумови, особливості та наслідки функціонування економіки на макрорівні, умовами рівноваги за поглядами різних вчених, проблемами короткотривалих і довготривалих наслідків економічної діяльності держави.</w:t>
      </w:r>
    </w:p>
    <w:p w:rsidR="00000000" w:rsidDel="00000000" w:rsidP="00000000" w:rsidRDefault="00000000" w:rsidRPr="00000000" w14:paraId="00000022">
      <w:pPr>
        <w:tabs>
          <w:tab w:val="left" w:leader="none" w:pos="-360"/>
          <w:tab w:val="left" w:leader="none" w:pos="-180"/>
        </w:tabs>
        <w:ind w:firstLine="709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Курс «Макроекономіка» вивчається після дисциплін</w:t>
      </w: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«Економічна теорія», «Мікроекономіка», «Гроші і кредит». Математичною основою курсу є дисципліна «Вища математика».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0"/>
        </w:tabs>
        <w:spacing w:after="0" w:before="6" w:line="237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НАВЧАЛЬНИЙ КОНТЕНТ ОСВІТНЬОЇ КОМПОНЕНТИ</w:t>
      </w:r>
    </w:p>
    <w:tbl>
      <w:tblPr>
        <w:tblStyle w:val="Table2"/>
        <w:tblW w:w="1014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2"/>
        <w:gridCol w:w="8899"/>
        <w:tblGridChange w:id="0">
          <w:tblGrid>
            <w:gridCol w:w="1242"/>
            <w:gridCol w:w="8899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МОДУЛЬ 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Макроекономічні показники та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макроекономічне моделювання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Предмет, метод та функції макроекономіки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Макроекономічні показники в системі національних рахунків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Модель сукупного попиту та сукупної пропозиції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Споживання, заощадження та інвестиції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Класична модель макроекономічної рівноваги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Кейнсіанські моделі макроекономічної рівноваги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МОДУЛЬ 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Економічна політика держави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Фіскальна політика держави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Монетарна політика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Циклічні коливання та економічне зростання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Інфляція та антиінфляційна політика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Безробіття та політика зайнятості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Макроекономічна політика у відкритій економіці</w:t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ФОРМИ, МЕТОДИ ТА ОСВІТНІ ТЕХНОЛОГІЇ НАВЧАННЯ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Освітні технології, що використовуються для викладання «Макроекономіки»: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Лекції з використанням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презентацій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під час яких розкриваються основні теоретичні концепції та принципи макроекономічної політики.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Групові та індивідуальні завдання з аналізу реальних ситуацій в економіці держави.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Використання таких технологій, як онлайн-курси, платформа MOODLE та інші інтерактивні платформи навчання, неформальні бізнес-курси, що сприяють підтримці вивчення макроекономіки.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 час навчальних занять використовуються традиційні та інтерактивні методи навчання: </w:t>
      </w:r>
    </w:p>
    <w:p w:rsidR="00000000" w:rsidDel="00000000" w:rsidP="00000000" w:rsidRDefault="00000000" w:rsidRPr="00000000" w14:paraId="0000004B">
      <w:pPr>
        <w:widowControl w:val="1"/>
        <w:numPr>
          <w:ilvl w:val="1"/>
          <w:numId w:val="2"/>
        </w:numPr>
        <w:tabs>
          <w:tab w:val="left" w:leader="none" w:pos="993"/>
        </w:tabs>
        <w:ind w:left="0"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лекція-візуалізація;</w:t>
      </w:r>
    </w:p>
    <w:p w:rsidR="00000000" w:rsidDel="00000000" w:rsidP="00000000" w:rsidRDefault="00000000" w:rsidRPr="00000000" w14:paraId="0000004C">
      <w:pPr>
        <w:widowControl w:val="1"/>
        <w:numPr>
          <w:ilvl w:val="1"/>
          <w:numId w:val="2"/>
        </w:numPr>
        <w:tabs>
          <w:tab w:val="left" w:leader="none" w:pos="993"/>
        </w:tabs>
        <w:ind w:left="0"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семінар-діалог;</w:t>
      </w:r>
    </w:p>
    <w:p w:rsidR="00000000" w:rsidDel="00000000" w:rsidP="00000000" w:rsidRDefault="00000000" w:rsidRPr="00000000" w14:paraId="0000004D">
      <w:pPr>
        <w:widowControl w:val="1"/>
        <w:numPr>
          <w:ilvl w:val="1"/>
          <w:numId w:val="2"/>
        </w:numPr>
        <w:tabs>
          <w:tab w:val="left" w:leader="none" w:pos="993"/>
        </w:tabs>
        <w:ind w:left="0"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робота з тестами;</w:t>
      </w:r>
    </w:p>
    <w:p w:rsidR="00000000" w:rsidDel="00000000" w:rsidP="00000000" w:rsidRDefault="00000000" w:rsidRPr="00000000" w14:paraId="0000004E">
      <w:pPr>
        <w:widowControl w:val="1"/>
        <w:numPr>
          <w:ilvl w:val="1"/>
          <w:numId w:val="2"/>
        </w:numPr>
        <w:tabs>
          <w:tab w:val="left" w:leader="none" w:pos="993"/>
        </w:tabs>
        <w:ind w:left="0"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проєктна діяльність з використанням мультимедіа;</w:t>
      </w:r>
    </w:p>
    <w:p w:rsidR="00000000" w:rsidDel="00000000" w:rsidP="00000000" w:rsidRDefault="00000000" w:rsidRPr="00000000" w14:paraId="0000004F">
      <w:pPr>
        <w:widowControl w:val="1"/>
        <w:numPr>
          <w:ilvl w:val="1"/>
          <w:numId w:val="2"/>
        </w:numPr>
        <w:tabs>
          <w:tab w:val="left" w:leader="none" w:pos="993"/>
        </w:tabs>
        <w:ind w:left="0"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ділові ігри;</w:t>
      </w:r>
    </w:p>
    <w:p w:rsidR="00000000" w:rsidDel="00000000" w:rsidP="00000000" w:rsidRDefault="00000000" w:rsidRPr="00000000" w14:paraId="00000050">
      <w:pPr>
        <w:widowControl w:val="1"/>
        <w:numPr>
          <w:ilvl w:val="1"/>
          <w:numId w:val="2"/>
        </w:numPr>
        <w:tabs>
          <w:tab w:val="left" w:leader="none" w:pos="993"/>
        </w:tabs>
        <w:ind w:left="0"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дистанційне навчання з використанням відповідних онлайн-платформ.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ФОРМИ Й МЕТОДИ КОНТРОЛЮ ТА ОЦІНЮВАННЯ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Навчальний матеріал розподілено за 2-ма модулями. Максимальна оцінка за кожний модуль складає 30 балів. Ще 40 балів студент може отримати на екзамені.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Формами поточного контролю є усна чи письмова (тестування, есе, фіксований виступ, творча робота) відповідь студента, презентація матеріалів самостійної роботи.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Формою підсумкового  контролю є екзамен.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КРИТЕРІЇ ОЦІНЮВАННЯ РЕЗУЛЬТАТІВ НАВЧАННЯ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ECTS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</w:t>
        <w:tab/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ПОЛІТИКА ЩОДО АКАДЕМІЧНОЇ ДОБРОЧЕСНОСТІ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«Етичний кодекс Чернівецького національного університету імені Юрія Федьковича». Сторінка «Академічна доброчесність»: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https://www.chnu.edu.ua/universytet/vazhlyvo/akademichna-dobrochesnist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https://www.chnu.edu.ua/universytet/normatyvni-dokumenty/polozhennia-pro-vyiavlennia-ta-zapobihannia-akademichnomu-plahiatu-u-chernivetskomu-natsionalnomu-universyteti-imeni-yuriia-fedkovycha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ІНФОРМАЦІЙНІ РЕСУРСИ</w:t>
      </w:r>
    </w:p>
    <w:p w:rsidR="00000000" w:rsidDel="00000000" w:rsidP="00000000" w:rsidRDefault="00000000" w:rsidRPr="00000000" w14:paraId="00000063">
      <w:pPr>
        <w:widowControl w:val="1"/>
        <w:numPr>
          <w:ilvl w:val="0"/>
          <w:numId w:val="3"/>
        </w:numPr>
        <w:tabs>
          <w:tab w:val="left" w:leader="none" w:pos="284"/>
        </w:tabs>
        <w:ind w:left="0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Офіційний веб-портал органів виконавчої влади України. URL: </w:t>
      </w:r>
      <w:hyperlink r:id="rId13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http://www.kmu.gov.ua</w:t>
        </w:r>
      </w:hyperlink>
      <w:r w:rsidDel="00000000" w:rsidR="00000000" w:rsidRPr="00000000">
        <w:rPr>
          <w:sz w:val="28"/>
          <w:szCs w:val="28"/>
          <w:rtl w:val="0"/>
        </w:rPr>
        <w:t xml:space="preserve">.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4">
      <w:pPr>
        <w:widowControl w:val="1"/>
        <w:numPr>
          <w:ilvl w:val="0"/>
          <w:numId w:val="3"/>
        </w:numPr>
        <w:tabs>
          <w:tab w:val="left" w:leader="none" w:pos="284"/>
        </w:tabs>
        <w:ind w:left="0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Офіційний веб-сайт Державної служби статистики України. URL: </w:t>
      </w:r>
      <w:hyperlink r:id="rId14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http://www.ukrstat.gov.ua/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1"/>
        <w:numPr>
          <w:ilvl w:val="0"/>
          <w:numId w:val="3"/>
        </w:numPr>
        <w:tabs>
          <w:tab w:val="left" w:leader="none" w:pos="284"/>
          <w:tab w:val="left" w:leader="none" w:pos="1134"/>
        </w:tabs>
        <w:ind w:left="0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Офіційний сайт Національного банку України URL: </w:t>
      </w:r>
      <w:hyperlink r:id="rId15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https://bank.gov.ua</w:t>
        </w:r>
      </w:hyperlink>
      <w:r w:rsidDel="00000000" w:rsidR="00000000" w:rsidRPr="00000000">
        <w:rPr>
          <w:sz w:val="28"/>
          <w:szCs w:val="28"/>
          <w:rtl w:val="0"/>
        </w:rPr>
        <w:t xml:space="preserve">.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6">
      <w:pPr>
        <w:widowControl w:val="1"/>
        <w:numPr>
          <w:ilvl w:val="0"/>
          <w:numId w:val="3"/>
        </w:numPr>
        <w:tabs>
          <w:tab w:val="left" w:leader="none" w:pos="284"/>
          <w:tab w:val="left" w:leader="none" w:pos="1134"/>
        </w:tabs>
        <w:ind w:left="0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Офіційний сайт Міністерства фінансів України URL : </w:t>
      </w:r>
      <w:hyperlink r:id="rId16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https://mof.gov.ua/uk</w:t>
        </w:r>
      </w:hyperlink>
      <w:r w:rsidDel="00000000" w:rsidR="00000000" w:rsidRPr="00000000">
        <w:rPr>
          <w:sz w:val="28"/>
          <w:szCs w:val="28"/>
          <w:rtl w:val="0"/>
        </w:rPr>
        <w:t xml:space="preserve">.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7">
      <w:pPr>
        <w:widowControl w:val="1"/>
        <w:numPr>
          <w:ilvl w:val="0"/>
          <w:numId w:val="3"/>
        </w:numPr>
        <w:tabs>
          <w:tab w:val="left" w:leader="none" w:pos="284"/>
          <w:tab w:val="left" w:leader="none" w:pos="1134"/>
        </w:tabs>
        <w:ind w:left="0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Офіційний сайт науково-теоретичного журналу «Економічна теорія». URL: </w:t>
      </w:r>
      <w:hyperlink r:id="rId17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http://etet.org.ua</w:t>
        </w:r>
      </w:hyperlink>
      <w:r w:rsidDel="00000000" w:rsidR="00000000" w:rsidRPr="00000000">
        <w:rPr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1"/>
        <w:numPr>
          <w:ilvl w:val="0"/>
          <w:numId w:val="3"/>
        </w:numPr>
        <w:tabs>
          <w:tab w:val="left" w:leader="none" w:pos="284"/>
          <w:tab w:val="left" w:leader="none" w:pos="1134"/>
        </w:tabs>
        <w:ind w:left="0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Офіційний сайт Інституту демографії та соціальних досліджень імені М. В. Птухи Національної академії наук України. URL: </w:t>
      </w:r>
      <w:hyperlink r:id="rId18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http://www.idss.org.ua</w:t>
        </w:r>
      </w:hyperlink>
      <w:r w:rsidDel="00000000" w:rsidR="00000000" w:rsidRPr="00000000">
        <w:rPr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1"/>
        <w:numPr>
          <w:ilvl w:val="0"/>
          <w:numId w:val="3"/>
        </w:numPr>
        <w:tabs>
          <w:tab w:val="left" w:leader="none" w:pos="284"/>
          <w:tab w:val="left" w:leader="none" w:pos="1134"/>
        </w:tabs>
        <w:ind w:left="0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 Офіційний сайт Інституту економіки та прогнозування Національної академії наук України. URL: </w:t>
      </w:r>
      <w:hyperlink r:id="rId19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http://ief.org.ua</w:t>
        </w:r>
      </w:hyperlink>
      <w:r w:rsidDel="00000000" w:rsidR="00000000" w:rsidRPr="00000000">
        <w:rPr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1"/>
        <w:numPr>
          <w:ilvl w:val="0"/>
          <w:numId w:val="3"/>
        </w:numPr>
        <w:tabs>
          <w:tab w:val="left" w:leader="none" w:pos="284"/>
          <w:tab w:val="left" w:leader="none" w:pos="1134"/>
        </w:tabs>
        <w:ind w:left="0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Офіційний сайт Міжнародного валютного фонду. URL: </w:t>
      </w:r>
      <w:hyperlink r:id="rId20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http://www.imf.org/external/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1"/>
        <w:numPr>
          <w:ilvl w:val="0"/>
          <w:numId w:val="3"/>
        </w:numPr>
        <w:tabs>
          <w:tab w:val="left" w:leader="none" w:pos="284"/>
          <w:tab w:val="left" w:leader="none" w:pos="426"/>
        </w:tabs>
        <w:ind w:left="0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Офіційний сайт Міністерства економіки України. URL: </w:t>
      </w:r>
      <w:hyperlink r:id="rId21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http://www.me.gov.ua</w:t>
        </w:r>
      </w:hyperlink>
      <w:r w:rsidDel="00000000" w:rsidR="00000000" w:rsidRPr="00000000">
        <w:rPr>
          <w:sz w:val="28"/>
          <w:szCs w:val="28"/>
          <w:rtl w:val="0"/>
        </w:rPr>
        <w:t xml:space="preserve">.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C">
      <w:pPr>
        <w:widowControl w:val="1"/>
        <w:numPr>
          <w:ilvl w:val="0"/>
          <w:numId w:val="3"/>
        </w:numPr>
        <w:tabs>
          <w:tab w:val="left" w:leader="none" w:pos="284"/>
          <w:tab w:val="left" w:leader="none" w:pos="426"/>
        </w:tabs>
        <w:ind w:left="0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Офіційний сайт Національного інституту стратегічних досліджень. URL: </w:t>
      </w:r>
      <w:hyperlink r:id="rId22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http://www.niss.gov.ua</w:t>
        </w:r>
      </w:hyperlink>
      <w:r w:rsidDel="00000000" w:rsidR="00000000" w:rsidRPr="00000000">
        <w:rPr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1"/>
        <w:numPr>
          <w:ilvl w:val="0"/>
          <w:numId w:val="3"/>
        </w:numPr>
        <w:tabs>
          <w:tab w:val="left" w:leader="none" w:pos="284"/>
          <w:tab w:val="left" w:leader="none" w:pos="426"/>
        </w:tabs>
        <w:ind w:left="0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Офіційний сайт Національної бібліотеки України імені В.І. Вернадського. URL: </w:t>
      </w:r>
      <w:hyperlink r:id="rId23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http://www.nbuv.gov.ua</w:t>
        </w:r>
      </w:hyperlink>
      <w:r w:rsidDel="00000000" w:rsidR="00000000" w:rsidRPr="00000000">
        <w:rPr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1"/>
        <w:numPr>
          <w:ilvl w:val="0"/>
          <w:numId w:val="3"/>
        </w:numPr>
        <w:tabs>
          <w:tab w:val="left" w:leader="none" w:pos="284"/>
          <w:tab w:val="left" w:leader="none" w:pos="426"/>
        </w:tabs>
        <w:ind w:left="0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Офіційний сайт Світового банку. URL: </w:t>
      </w:r>
      <w:hyperlink r:id="rId24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http://www.worldbank.org/uk/country/ukraine</w:t>
        </w:r>
      </w:hyperlink>
      <w:r w:rsidDel="00000000" w:rsidR="00000000" w:rsidRPr="00000000">
        <w:rPr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Детальна інформація щодо вивчення курсу «Макроекономіка»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висвітлена у робочій програмі  навчальної дисципліни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984806"/>
          <w:sz w:val="28"/>
          <w:szCs w:val="28"/>
          <w:u w:val="none"/>
          <w:shd w:fill="auto" w:val="clear"/>
          <w:vertAlign w:val="baseline"/>
        </w:rPr>
      </w:pPr>
      <w:hyperlink r:id="rId25">
        <w:r w:rsidDel="00000000" w:rsidR="00000000" w:rsidRPr="00000000">
          <w:rPr>
            <w:i w:val="1"/>
            <w:iCs w:val="1"/>
            <w:color w:val="1155cc"/>
            <w:sz w:val="28"/>
            <w:szCs w:val="28"/>
            <w:highlight w:val="yellow"/>
            <w:u w:val="single"/>
            <w:rtl w:val="0"/>
          </w:rPr>
          <w:t xml:space="preserve">https://finance.chnu.edu.ua/diialnist/osvitnia-diialnist/bakalavr/navchalni-dystsypliny/robochi-prohramy/</w:t>
        </w:r>
      </w:hyperlink>
      <w:r w:rsidDel="00000000" w:rsidR="00000000" w:rsidRPr="00000000">
        <w:rPr>
          <w:i w:val="1"/>
          <w:iCs w:val="1"/>
          <w:color w:val="0070c0"/>
          <w:sz w:val="28"/>
          <w:szCs w:val="28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40" w:w="11910" w:orient="portrait"/>
      <w:pgMar w:bottom="1134" w:top="510" w:left="141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cs="Times New Roman" w:eastAsia="Times New Roman" w:hAnsi="Times New Roman"/>
        <w:color w:val="000000"/>
      </w:rPr>
    </w:lvl>
    <w:lvl w:ilvl="1">
      <w:start w:val="1"/>
      <w:numFmt w:val="bullet"/>
      <w:lvlText w:val="–"/>
      <w:lvlJc w:val="left"/>
      <w:pPr>
        <w:ind w:left="1800" w:firstLine="0"/>
      </w:pPr>
      <w:rPr>
        <w:rFonts w:ascii="Times New Roman" w:cs="Times New Roman" w:eastAsia="Times New Roman" w:hAnsi="Times New Roman"/>
        <w:color w:val="000000"/>
      </w:rPr>
    </w:lvl>
    <w:lvl w:ilvl="2">
      <w:start w:val="3"/>
      <w:numFmt w:val="bullet"/>
      <w:lvlText w:val="-"/>
      <w:lvlJc w:val="left"/>
      <w:pPr>
        <w:ind w:left="2880" w:hanging="360"/>
      </w:pPr>
      <w:rPr>
        <w:rFonts w:ascii="Times New Roman" w:cs="Times New Roman" w:eastAsia="Times New Roman" w:hAnsi="Times New Roman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cs="Times New Roman" w:eastAsia="Times New Roman" w:hAnsi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648" w:hanging="360"/>
      </w:pPr>
      <w:rPr/>
    </w:lvl>
    <w:lvl w:ilvl="2">
      <w:start w:val="1"/>
      <w:numFmt w:val="lowerRoman"/>
      <w:lvlText w:val="%3."/>
      <w:lvlJc w:val="right"/>
      <w:pPr>
        <w:ind w:left="2368" w:hanging="180"/>
      </w:pPr>
      <w:rPr/>
    </w:lvl>
    <w:lvl w:ilvl="3">
      <w:start w:val="1"/>
      <w:numFmt w:val="decimal"/>
      <w:lvlText w:val="%4."/>
      <w:lvlJc w:val="left"/>
      <w:pPr>
        <w:ind w:left="3088" w:hanging="360"/>
      </w:pPr>
      <w:rPr/>
    </w:lvl>
    <w:lvl w:ilvl="4">
      <w:start w:val="1"/>
      <w:numFmt w:val="lowerLetter"/>
      <w:lvlText w:val="%5."/>
      <w:lvlJc w:val="left"/>
      <w:pPr>
        <w:ind w:left="3808" w:hanging="360"/>
      </w:pPr>
      <w:rPr/>
    </w:lvl>
    <w:lvl w:ilvl="5">
      <w:start w:val="1"/>
      <w:numFmt w:val="lowerRoman"/>
      <w:lvlText w:val="%6."/>
      <w:lvlJc w:val="right"/>
      <w:pPr>
        <w:ind w:left="4528" w:hanging="180"/>
      </w:pPr>
      <w:rPr/>
    </w:lvl>
    <w:lvl w:ilvl="6">
      <w:start w:val="1"/>
      <w:numFmt w:val="decimal"/>
      <w:lvlText w:val="%7."/>
      <w:lvlJc w:val="left"/>
      <w:pPr>
        <w:ind w:left="5248" w:hanging="360"/>
      </w:pPr>
      <w:rPr/>
    </w:lvl>
    <w:lvl w:ilvl="7">
      <w:start w:val="1"/>
      <w:numFmt w:val="lowerLetter"/>
      <w:lvlText w:val="%8."/>
      <w:lvlJc w:val="left"/>
      <w:pPr>
        <w:ind w:left="5968" w:hanging="360"/>
      </w:pPr>
      <w:rPr/>
    </w:lvl>
    <w:lvl w:ilvl="8">
      <w:start w:val="1"/>
      <w:numFmt w:val="lowerRoman"/>
      <w:lvlText w:val="%9."/>
      <w:lvlJc w:val="right"/>
      <w:pPr>
        <w:ind w:left="668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21" w:right="516"/>
      <w:jc w:val="center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106698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rsid w:val="00106698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 w:val="1"/>
    <w:rsid w:val="00106698"/>
    <w:pPr>
      <w:ind w:left="859" w:hanging="360"/>
      <w:jc w:val="both"/>
    </w:pPr>
  </w:style>
  <w:style w:type="paragraph" w:styleId="TableParagraph" w:customStyle="1">
    <w:name w:val="Table Paragraph"/>
    <w:basedOn w:val="a"/>
    <w:uiPriority w:val="1"/>
    <w:qFormat w:val="1"/>
    <w:rsid w:val="00106698"/>
    <w:pPr>
      <w:ind w:left="105"/>
    </w:pPr>
  </w:style>
  <w:style w:type="character" w:styleId="a5">
    <w:name w:val="Hyperlink"/>
    <w:basedOn w:val="a0"/>
    <w:uiPriority w:val="99"/>
    <w:unhideWhenUsed w:val="1"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 w:val="1"/>
    <w:unhideWhenUsed w:val="1"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Balloon Text"/>
    <w:basedOn w:val="a"/>
    <w:link w:val="a9"/>
    <w:uiPriority w:val="99"/>
    <w:semiHidden w:val="1"/>
    <w:unhideWhenUsed w:val="1"/>
    <w:rsid w:val="00F46C20"/>
    <w:rPr>
      <w:rFonts w:ascii="Tahoma" w:cs="Tahoma" w:hAnsi="Tahoma"/>
      <w:sz w:val="16"/>
      <w:szCs w:val="16"/>
    </w:rPr>
  </w:style>
  <w:style w:type="character" w:styleId="a9" w:customStyle="1">
    <w:name w:val="Текст у виносці Знак"/>
    <w:basedOn w:val="a0"/>
    <w:link w:val="a8"/>
    <w:uiPriority w:val="99"/>
    <w:semiHidden w:val="1"/>
    <w:rsid w:val="00F46C20"/>
    <w:rPr>
      <w:rFonts w:ascii="Tahoma" w:cs="Tahoma" w:eastAsia="Times New Roman" w:hAnsi="Tahoma"/>
      <w:sz w:val="16"/>
      <w:szCs w:val="16"/>
      <w:lang w:val="uk-UA"/>
    </w:rPr>
  </w:style>
  <w:style w:type="paragraph" w:styleId="Default" w:customStyle="1">
    <w:name w:val="Default"/>
    <w:rsid w:val="007412CF"/>
    <w:pPr>
      <w:widowControl w:val="1"/>
      <w:adjustRightInd w:val="0"/>
    </w:pPr>
    <w:rPr>
      <w:rFonts w:ascii="Times New Roman" w:cs="Times New Roman" w:hAnsi="Times New Roman"/>
      <w:color w:val="000000"/>
      <w:sz w:val="24"/>
      <w:szCs w:val="24"/>
      <w:lang w:val="ru-RU"/>
    </w:rPr>
  </w:style>
  <w:style w:type="character" w:styleId="iudoqc" w:customStyle="1">
    <w:name w:val="iudoqc"/>
    <w:basedOn w:val="a0"/>
    <w:rsid w:val="00242E85"/>
  </w:style>
  <w:style w:type="character" w:styleId="10" w:customStyle="1">
    <w:name w:val="Неразрешенное упоминание1"/>
    <w:basedOn w:val="a0"/>
    <w:uiPriority w:val="99"/>
    <w:semiHidden w:val="1"/>
    <w:unhideWhenUsed w:val="1"/>
    <w:rsid w:val="003B13FB"/>
    <w:rPr>
      <w:color w:val="605e5c"/>
      <w:shd w:color="auto" w:fill="e1dfdd" w:val="clear"/>
    </w:rPr>
  </w:style>
  <w:style w:type="paragraph" w:styleId="aa">
    <w:name w:val="Normal (Web)"/>
    <w:basedOn w:val="a"/>
    <w:uiPriority w:val="99"/>
    <w:unhideWhenUsed w:val="1"/>
    <w:rsid w:val="00FE500F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uk-UA"/>
    </w:rPr>
  </w:style>
  <w:style w:type="paragraph" w:styleId="docdata" w:customStyle="1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ru-RU" w:val="ru-RU"/>
    </w:rPr>
  </w:style>
  <w:style w:type="character" w:styleId="11" w:customStyle="1">
    <w:name w:val="Незакрита згадка1"/>
    <w:basedOn w:val="a0"/>
    <w:uiPriority w:val="99"/>
    <w:semiHidden w:val="1"/>
    <w:unhideWhenUsed w:val="1"/>
    <w:rsid w:val="00371D03"/>
    <w:rPr>
      <w:color w:val="605e5c"/>
      <w:shd w:color="auto" w:fill="e1dfdd" w:val="clear"/>
    </w:rPr>
  </w:style>
  <w:style w:type="character" w:styleId="ab">
    <w:name w:val="Emphasis"/>
    <w:basedOn w:val="a0"/>
    <w:uiPriority w:val="20"/>
    <w:qFormat w:val="1"/>
    <w:rsid w:val="00042370"/>
    <w:rPr>
      <w:i w:val="1"/>
      <w:iCs w:val="1"/>
    </w:rPr>
  </w:style>
  <w:style w:type="character" w:styleId="30" w:customStyle="1">
    <w:name w:val="Заголовок 3 Знак"/>
    <w:basedOn w:val="a0"/>
    <w:link w:val="3"/>
    <w:uiPriority w:val="9"/>
    <w:semiHidden w:val="1"/>
    <w:rsid w:val="00D3333E"/>
    <w:rPr>
      <w:rFonts w:asciiTheme="majorHAnsi" w:cstheme="majorBidi" w:eastAsiaTheme="majorEastAsia" w:hAnsiTheme="majorHAnsi"/>
      <w:color w:val="243f60" w:themeColor="accent1" w:themeShade="00007F"/>
      <w:sz w:val="24"/>
      <w:szCs w:val="24"/>
      <w:lang w:val="uk-UA"/>
    </w:rPr>
  </w:style>
  <w:style w:type="character" w:styleId="go" w:customStyle="1">
    <w:name w:val="go"/>
    <w:basedOn w:val="a0"/>
    <w:rsid w:val="00D3333E"/>
  </w:style>
  <w:style w:type="character" w:styleId="qu" w:customStyle="1">
    <w:name w:val="qu"/>
    <w:basedOn w:val="a0"/>
    <w:rsid w:val="00F574FE"/>
  </w:style>
  <w:style w:type="character" w:styleId="gd" w:customStyle="1">
    <w:name w:val="gd"/>
    <w:basedOn w:val="a0"/>
    <w:rsid w:val="00F574FE"/>
  </w:style>
  <w:style w:type="paragraph" w:styleId="Style7" w:customStyle="1">
    <w:name w:val="Style7"/>
    <w:basedOn w:val="a"/>
    <w:rsid w:val="003C6C66"/>
    <w:pPr>
      <w:adjustRightInd w:val="0"/>
    </w:pPr>
    <w:rPr>
      <w:sz w:val="24"/>
      <w:szCs w:val="24"/>
      <w:lang w:eastAsia="uk-UA"/>
    </w:rPr>
  </w:style>
  <w:style w:type="character" w:styleId="FontStyle25" w:customStyle="1">
    <w:name w:val="Font Style25"/>
    <w:rsid w:val="003C6C66"/>
    <w:rPr>
      <w:rFonts w:ascii="Times New Roman" w:cs="Times New Roman" w:hAnsi="Times New Roman"/>
      <w:sz w:val="24"/>
      <w:szCs w:val="24"/>
    </w:rPr>
  </w:style>
  <w:style w:type="character" w:styleId="ac">
    <w:name w:val="Unresolved Mention"/>
    <w:basedOn w:val="a0"/>
    <w:uiPriority w:val="99"/>
    <w:semiHidden w:val="1"/>
    <w:unhideWhenUsed w:val="1"/>
    <w:rsid w:val="0069216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imf.org/external/" TargetMode="External"/><Relationship Id="rId22" Type="http://schemas.openxmlformats.org/officeDocument/2006/relationships/hyperlink" Target="http://www.niss.gov.ua" TargetMode="External"/><Relationship Id="rId21" Type="http://schemas.openxmlformats.org/officeDocument/2006/relationships/hyperlink" Target="http://www.me.gov.ua" TargetMode="External"/><Relationship Id="rId24" Type="http://schemas.openxmlformats.org/officeDocument/2006/relationships/hyperlink" Target="http://www.worldbank.org/uk/country/ukraine" TargetMode="External"/><Relationship Id="rId23" Type="http://schemas.openxmlformats.org/officeDocument/2006/relationships/hyperlink" Target="http://www.nbuv.gov.u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Relationship Id="rId25" Type="http://schemas.openxmlformats.org/officeDocument/2006/relationships/hyperlink" Target="https://finance.chnu.edu.ua/diialnist/osvitnia-diialnist/bakalavr/navchalni-dystsypliny/robochi-prohramy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ecoman.chnu.edu.ua/kafedra/kolektyv/boida-svitlana-vasylivna/" TargetMode="External"/><Relationship Id="rId11" Type="http://schemas.openxmlformats.org/officeDocument/2006/relationships/hyperlink" Target="https://www.chnu.edu.ua/universytet/vazhlyvo/akademichna-dobrochesnist" TargetMode="External"/><Relationship Id="rId10" Type="http://schemas.openxmlformats.org/officeDocument/2006/relationships/hyperlink" Target="https://moodle.chnu.edu.ua/course/view.php?id=1359" TargetMode="External"/><Relationship Id="rId13" Type="http://schemas.openxmlformats.org/officeDocument/2006/relationships/hyperlink" Target="http://www.kmu.gov.ua" TargetMode="External"/><Relationship Id="rId12" Type="http://schemas.openxmlformats.org/officeDocument/2006/relationships/hyperlink" Target="https://www.chnu.edu.ua/universytet/normatyvni-dokumenty/polozhennia-pro-vyiavlennia-ta-zapobihannia-akademichnomu-plahiatu-u-chernivetskomu-natsionalnomu-universyteti-imeni-yuriia-fedkovycha" TargetMode="External"/><Relationship Id="rId15" Type="http://schemas.openxmlformats.org/officeDocument/2006/relationships/hyperlink" Target="https://bank.gov.ua" TargetMode="External"/><Relationship Id="rId14" Type="http://schemas.openxmlformats.org/officeDocument/2006/relationships/hyperlink" Target="http://www.ukrstat.gov.ua/" TargetMode="External"/><Relationship Id="rId17" Type="http://schemas.openxmlformats.org/officeDocument/2006/relationships/hyperlink" Target="http://etet.org.ua" TargetMode="External"/><Relationship Id="rId16" Type="http://schemas.openxmlformats.org/officeDocument/2006/relationships/hyperlink" Target="https://mof.gov.ua/uk" TargetMode="External"/><Relationship Id="rId19" Type="http://schemas.openxmlformats.org/officeDocument/2006/relationships/hyperlink" Target="http://ief.org.ua" TargetMode="External"/><Relationship Id="rId18" Type="http://schemas.openxmlformats.org/officeDocument/2006/relationships/hyperlink" Target="http://www.idss.org.u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8AmYJ9cS0fWtOzP8YbJqdXkyCw==">CgMxLjA4AHIhMXlBbFNreF9WUFZSbE9XMDRUZW85VHdueV91YjFMcjFJ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2024-08-08T10:38:00Z</dcterms:created>
  <dc:creator>Мастер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